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stylesWithEffects.xml" ContentType="application/vnd.ms-word.stylesWithEffects+xml"/>
  <Override PartName="/docProps/app.xml" ContentType="application/vnd.openxmlformats-officedocument.extended-propertie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DB3" w:rsidRDefault="00C27DB3">
      <w:pPr>
        <w:spacing w:before="100" w:after="100"/>
        <w:jc w:val="right"/>
        <w:rPr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2"/>
        </w:rPr>
        <w:t>ISO/IEC JTC 1/SC 24/WG 8 N</w:t>
      </w:r>
      <w:r w:rsidR="003D3FA4">
        <w:rPr>
          <w:rFonts w:ascii="Times New Roman" w:hAnsi="Times New Roman"/>
          <w:b/>
          <w:sz w:val="22"/>
        </w:rPr>
        <w:t>0630</w:t>
      </w:r>
    </w:p>
    <w:p w:rsidR="00C27DB3" w:rsidRPr="00D131F9" w:rsidRDefault="00C27DB3">
      <w:pPr>
        <w:spacing w:before="100" w:after="100"/>
        <w:jc w:val="center"/>
        <w:rPr>
          <w:b/>
          <w:color w:val="000000"/>
          <w:sz w:val="16"/>
        </w:rPr>
      </w:pPr>
    </w:p>
    <w:p w:rsidR="00C27DB3" w:rsidRDefault="00C27DB3">
      <w:pPr>
        <w:spacing w:before="100" w:after="10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SC 24/</w:t>
      </w:r>
      <w:r w:rsidRPr="00EC1515">
        <w:rPr>
          <w:b/>
          <w:color w:val="000000"/>
          <w:sz w:val="28"/>
        </w:rPr>
        <w:t>WG 8</w:t>
      </w:r>
      <w:r w:rsidRPr="004E12F8">
        <w:rPr>
          <w:b/>
          <w:color w:val="000000"/>
          <w:sz w:val="28"/>
        </w:rPr>
        <w:t xml:space="preserve"> </w:t>
      </w:r>
      <w:r>
        <w:rPr>
          <w:b/>
          <w:color w:val="000000"/>
          <w:sz w:val="28"/>
        </w:rPr>
        <w:t>Convener’s Report</w:t>
      </w:r>
    </w:p>
    <w:p w:rsidR="00C27DB3" w:rsidRDefault="00C27DB3">
      <w:pPr>
        <w:spacing w:before="100" w:after="10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for the</w:t>
      </w:r>
    </w:p>
    <w:p w:rsidR="00F60CBB" w:rsidRDefault="00C27DB3" w:rsidP="00074716">
      <w:pPr>
        <w:pStyle w:val="NormalWeb"/>
        <w:spacing w:before="2" w:after="2"/>
        <w:jc w:val="center"/>
        <w:rPr>
          <w:rFonts w:ascii="Arial" w:hAnsi="Arial"/>
          <w:b/>
          <w:color w:val="000000"/>
          <w:sz w:val="28"/>
        </w:rPr>
      </w:pPr>
      <w:r w:rsidRPr="00074716">
        <w:rPr>
          <w:rFonts w:ascii="Arial" w:hAnsi="Arial"/>
          <w:b/>
          <w:color w:val="000000"/>
          <w:sz w:val="28"/>
        </w:rPr>
        <w:t>WG 8 and SC 24 Plenary Meetings,</w:t>
      </w:r>
    </w:p>
    <w:p w:rsidR="00074716" w:rsidRPr="00074716" w:rsidRDefault="00F60CBB" w:rsidP="00074716">
      <w:pPr>
        <w:pStyle w:val="NormalWeb"/>
        <w:spacing w:before="2" w:after="2"/>
        <w:jc w:val="center"/>
        <w:rPr>
          <w:rFonts w:ascii="Arial" w:hAnsi="Arial"/>
          <w:b/>
          <w:color w:val="000000"/>
          <w:sz w:val="28"/>
        </w:rPr>
      </w:pPr>
      <w:r>
        <w:rPr>
          <w:rFonts w:ascii="Arial" w:hAnsi="Arial"/>
          <w:b/>
          <w:color w:val="000000"/>
          <w:sz w:val="28"/>
        </w:rPr>
        <w:t>OKTAL-SE Premises,</w:t>
      </w:r>
    </w:p>
    <w:p w:rsidR="00C27DB3" w:rsidRPr="00A70284" w:rsidRDefault="00883D0D" w:rsidP="00883D0D">
      <w:pPr>
        <w:pStyle w:val="NormalWeb"/>
        <w:spacing w:before="2" w:after="2"/>
        <w:jc w:val="center"/>
        <w:rPr>
          <w:lang w:val="fr-FR"/>
        </w:rPr>
      </w:pPr>
      <w:r w:rsidRPr="00A70284">
        <w:rPr>
          <w:rFonts w:ascii="Arial" w:hAnsi="Arial"/>
          <w:b/>
          <w:sz w:val="28"/>
          <w:szCs w:val="24"/>
          <w:lang w:val="fr-FR"/>
        </w:rPr>
        <w:t>Vigoulet-Auzil,</w:t>
      </w:r>
      <w:r w:rsidR="00074716" w:rsidRPr="00A70284">
        <w:rPr>
          <w:rFonts w:ascii="Arial" w:hAnsi="Arial"/>
          <w:b/>
          <w:sz w:val="28"/>
          <w:szCs w:val="24"/>
          <w:lang w:val="fr-FR"/>
        </w:rPr>
        <w:t xml:space="preserve"> Toulouse, France</w:t>
      </w:r>
    </w:p>
    <w:p w:rsidR="00883D0D" w:rsidRPr="00A70284" w:rsidRDefault="00074716">
      <w:pPr>
        <w:spacing w:before="100" w:after="100"/>
        <w:jc w:val="center"/>
        <w:rPr>
          <w:b/>
          <w:color w:val="000000"/>
          <w:sz w:val="28"/>
          <w:lang w:val="fr-FR"/>
        </w:rPr>
      </w:pPr>
      <w:r w:rsidRPr="00A70284">
        <w:rPr>
          <w:b/>
          <w:color w:val="000000"/>
          <w:sz w:val="28"/>
          <w:lang w:val="fr-FR"/>
        </w:rPr>
        <w:t>6 - 10 August 2018</w:t>
      </w:r>
    </w:p>
    <w:p w:rsidR="00C27DB3" w:rsidRPr="00A70284" w:rsidRDefault="00C27DB3">
      <w:pPr>
        <w:spacing w:before="100" w:after="100"/>
        <w:jc w:val="center"/>
        <w:rPr>
          <w:b/>
          <w:color w:val="000000"/>
          <w:sz w:val="28"/>
          <w:lang w:val="fr-FR"/>
        </w:rPr>
      </w:pPr>
    </w:p>
    <w:p w:rsidR="00C27DB3" w:rsidRDefault="00074716">
      <w:pPr>
        <w:spacing w:after="120"/>
        <w:jc w:val="both"/>
        <w:rPr>
          <w:color w:val="000000"/>
          <w:sz w:val="22"/>
        </w:rPr>
      </w:pPr>
      <w:r>
        <w:rPr>
          <w:color w:val="000000"/>
          <w:sz w:val="22"/>
        </w:rPr>
        <w:t>T</w:t>
      </w:r>
      <w:r w:rsidR="00C27DB3">
        <w:rPr>
          <w:color w:val="000000"/>
          <w:sz w:val="22"/>
        </w:rPr>
        <w:t xml:space="preserve">he progress </w:t>
      </w:r>
      <w:r>
        <w:rPr>
          <w:color w:val="000000"/>
          <w:sz w:val="22"/>
        </w:rPr>
        <w:t xml:space="preserve">of </w:t>
      </w:r>
      <w:r w:rsidR="00C27DB3">
        <w:rPr>
          <w:color w:val="000000"/>
          <w:sz w:val="22"/>
        </w:rPr>
        <w:t>SC 24/WG 8</w:t>
      </w:r>
      <w:r w:rsidR="00985989">
        <w:rPr>
          <w:color w:val="000000"/>
          <w:sz w:val="22"/>
        </w:rPr>
        <w:t xml:space="preserve"> during 2017-18</w:t>
      </w:r>
      <w:r w:rsidR="00C27DB3">
        <w:rPr>
          <w:color w:val="000000"/>
          <w:sz w:val="22"/>
        </w:rPr>
        <w:t>, working</w:t>
      </w:r>
      <w:r w:rsidR="00C27DB3" w:rsidRPr="00D131F9">
        <w:rPr>
          <w:color w:val="000000"/>
          <w:sz w:val="22"/>
        </w:rPr>
        <w:t xml:space="preserve"> in co-operation with the SEDRIS Organization, </w:t>
      </w:r>
      <w:r>
        <w:rPr>
          <w:color w:val="000000"/>
          <w:sz w:val="22"/>
        </w:rPr>
        <w:t>is summarized in this report</w:t>
      </w:r>
      <w:r w:rsidR="00C27DB3">
        <w:rPr>
          <w:color w:val="000000"/>
          <w:sz w:val="22"/>
        </w:rPr>
        <w:t>.</w:t>
      </w:r>
    </w:p>
    <w:p w:rsidR="00C27DB3" w:rsidRPr="00D131F9" w:rsidRDefault="00C27DB3">
      <w:pPr>
        <w:spacing w:after="120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WG 8 </w:t>
      </w:r>
      <w:r w:rsidRPr="00D131F9">
        <w:rPr>
          <w:color w:val="000000"/>
          <w:sz w:val="22"/>
        </w:rPr>
        <w:t xml:space="preserve">is responsible for standards relating to the representation and interchange of environmental data. The </w:t>
      </w:r>
      <w:r>
        <w:rPr>
          <w:color w:val="000000"/>
          <w:sz w:val="22"/>
        </w:rPr>
        <w:t xml:space="preserve">current versions of the </w:t>
      </w:r>
      <w:r w:rsidRPr="00D131F9">
        <w:rPr>
          <w:color w:val="000000"/>
          <w:sz w:val="22"/>
        </w:rPr>
        <w:t>WG 8 Standards</w:t>
      </w:r>
      <w:r>
        <w:rPr>
          <w:color w:val="000000"/>
          <w:sz w:val="22"/>
        </w:rPr>
        <w:t xml:space="preserve"> are unchanged from last year and are as shown in the table below</w:t>
      </w:r>
      <w:r w:rsidRPr="00D131F9">
        <w:rPr>
          <w:color w:val="000000"/>
          <w:sz w:val="22"/>
        </w:rPr>
        <w:t>;</w:t>
      </w:r>
    </w:p>
    <w:p w:rsidR="00C27DB3" w:rsidRDefault="00C27DB3">
      <w:pPr>
        <w:spacing w:after="120"/>
        <w:jc w:val="both"/>
        <w:rPr>
          <w:color w:val="000000"/>
          <w:sz w:val="20"/>
        </w:rPr>
      </w:pPr>
    </w:p>
    <w:tbl>
      <w:tblPr>
        <w:tblW w:w="8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86"/>
        <w:gridCol w:w="3827"/>
      </w:tblGrid>
      <w:tr w:rsidR="007F30B6" w:rsidRPr="00690096">
        <w:trPr>
          <w:trHeight w:val="267"/>
        </w:trPr>
        <w:tc>
          <w:tcPr>
            <w:tcW w:w="4786" w:type="dxa"/>
          </w:tcPr>
          <w:p w:rsidR="00C27DB3" w:rsidRPr="00DC47B0" w:rsidRDefault="00C27DB3" w:rsidP="007F30B6">
            <w:pPr>
              <w:spacing w:after="120"/>
              <w:jc w:val="center"/>
              <w:rPr>
                <w:b/>
                <w:color w:val="000000"/>
                <w:sz w:val="20"/>
              </w:rPr>
            </w:pPr>
            <w:r w:rsidRPr="00DC47B0">
              <w:rPr>
                <w:b/>
                <w:color w:val="000000"/>
                <w:sz w:val="20"/>
              </w:rPr>
              <w:t>Standard</w:t>
            </w:r>
          </w:p>
        </w:tc>
        <w:tc>
          <w:tcPr>
            <w:tcW w:w="3827" w:type="dxa"/>
          </w:tcPr>
          <w:p w:rsidR="007F30B6" w:rsidRPr="00DC47B0" w:rsidRDefault="007F30B6" w:rsidP="007F30B6">
            <w:pPr>
              <w:spacing w:after="120"/>
              <w:jc w:val="center"/>
              <w:rPr>
                <w:b/>
                <w:color w:val="000000"/>
                <w:sz w:val="20"/>
              </w:rPr>
            </w:pPr>
            <w:r w:rsidRPr="00DC47B0">
              <w:rPr>
                <w:b/>
                <w:color w:val="000000"/>
                <w:sz w:val="20"/>
              </w:rPr>
              <w:t>Current Status</w:t>
            </w:r>
          </w:p>
        </w:tc>
      </w:tr>
      <w:tr w:rsidR="007F30B6" w:rsidRPr="00690096">
        <w:tc>
          <w:tcPr>
            <w:tcW w:w="4786" w:type="dxa"/>
          </w:tcPr>
          <w:p w:rsidR="007F30B6" w:rsidRPr="00DC47B0" w:rsidRDefault="007F30B6" w:rsidP="007F30B6">
            <w:pPr>
              <w:spacing w:after="120"/>
              <w:jc w:val="both"/>
              <w:rPr>
                <w:color w:val="000000"/>
                <w:sz w:val="20"/>
              </w:rPr>
            </w:pPr>
            <w:r w:rsidRPr="00DC47B0">
              <w:rPr>
                <w:color w:val="000000"/>
                <w:sz w:val="20"/>
              </w:rPr>
              <w:t>ISO/IEC 9973 Procedures for registration of items</w:t>
            </w:r>
          </w:p>
        </w:tc>
        <w:tc>
          <w:tcPr>
            <w:tcW w:w="3827" w:type="dxa"/>
          </w:tcPr>
          <w:p w:rsidR="007F30B6" w:rsidRPr="00DC47B0" w:rsidRDefault="007F30B6" w:rsidP="007F30B6">
            <w:pPr>
              <w:jc w:val="both"/>
              <w:rPr>
                <w:color w:val="000000"/>
                <w:sz w:val="20"/>
              </w:rPr>
            </w:pPr>
            <w:r w:rsidRPr="00DC47B0">
              <w:rPr>
                <w:color w:val="000000"/>
                <w:sz w:val="20"/>
              </w:rPr>
              <w:t xml:space="preserve">Ed. 3 published July 2013. </w:t>
            </w:r>
          </w:p>
          <w:p w:rsidR="007F30B6" w:rsidRPr="00DC47B0" w:rsidRDefault="007F30B6" w:rsidP="007F30B6">
            <w:pPr>
              <w:jc w:val="both"/>
              <w:rPr>
                <w:color w:val="000000"/>
                <w:sz w:val="20"/>
              </w:rPr>
            </w:pPr>
          </w:p>
        </w:tc>
      </w:tr>
      <w:tr w:rsidR="007F30B6" w:rsidRPr="00690096">
        <w:trPr>
          <w:trHeight w:val="358"/>
        </w:trPr>
        <w:tc>
          <w:tcPr>
            <w:tcW w:w="4786" w:type="dxa"/>
          </w:tcPr>
          <w:p w:rsidR="007F30B6" w:rsidRPr="00DC47B0" w:rsidRDefault="007F30B6" w:rsidP="007F30B6">
            <w:pPr>
              <w:spacing w:after="120"/>
              <w:jc w:val="both"/>
              <w:rPr>
                <w:color w:val="000000"/>
                <w:sz w:val="20"/>
              </w:rPr>
            </w:pPr>
            <w:r w:rsidRPr="00DC47B0">
              <w:rPr>
                <w:color w:val="000000"/>
                <w:sz w:val="20"/>
              </w:rPr>
              <w:t>ISO/IEC 18023-1: SEDRIS DRM and API</w:t>
            </w:r>
          </w:p>
        </w:tc>
        <w:tc>
          <w:tcPr>
            <w:tcW w:w="3827" w:type="dxa"/>
          </w:tcPr>
          <w:p w:rsidR="007F30B6" w:rsidRPr="00DC47B0" w:rsidRDefault="007F30B6" w:rsidP="007F30B6">
            <w:pPr>
              <w:jc w:val="both"/>
              <w:rPr>
                <w:color w:val="000000"/>
                <w:sz w:val="20"/>
              </w:rPr>
            </w:pPr>
            <w:r w:rsidRPr="00DC47B0">
              <w:rPr>
                <w:color w:val="000000"/>
                <w:sz w:val="20"/>
              </w:rPr>
              <w:t xml:space="preserve">Ed. 1 Amd.1 Published June 2012. </w:t>
            </w:r>
          </w:p>
          <w:p w:rsidR="007F30B6" w:rsidRPr="00DC47B0" w:rsidRDefault="007F30B6" w:rsidP="007F30B6">
            <w:pPr>
              <w:jc w:val="both"/>
              <w:rPr>
                <w:color w:val="000000"/>
                <w:sz w:val="20"/>
              </w:rPr>
            </w:pPr>
            <w:r w:rsidRPr="00DC47B0">
              <w:rPr>
                <w:color w:val="000000"/>
                <w:sz w:val="20"/>
              </w:rPr>
              <w:t>NWIP Planned</w:t>
            </w:r>
          </w:p>
        </w:tc>
      </w:tr>
      <w:tr w:rsidR="007F30B6" w:rsidRPr="00690096">
        <w:trPr>
          <w:trHeight w:val="327"/>
        </w:trPr>
        <w:tc>
          <w:tcPr>
            <w:tcW w:w="4786" w:type="dxa"/>
          </w:tcPr>
          <w:p w:rsidR="007F30B6" w:rsidRPr="00DC47B0" w:rsidRDefault="007F30B6" w:rsidP="007F30B6">
            <w:pPr>
              <w:spacing w:after="120"/>
              <w:jc w:val="both"/>
              <w:rPr>
                <w:color w:val="000000"/>
                <w:sz w:val="20"/>
              </w:rPr>
            </w:pPr>
            <w:r w:rsidRPr="00DC47B0">
              <w:rPr>
                <w:color w:val="000000"/>
                <w:sz w:val="20"/>
              </w:rPr>
              <w:t>ISO/IEC 18023-2: SEDRIS Abstract Transmittal</w:t>
            </w:r>
          </w:p>
        </w:tc>
        <w:tc>
          <w:tcPr>
            <w:tcW w:w="3827" w:type="dxa"/>
          </w:tcPr>
          <w:p w:rsidR="007F30B6" w:rsidRPr="00DC47B0" w:rsidRDefault="007F30B6" w:rsidP="007F30B6">
            <w:pPr>
              <w:rPr>
                <w:color w:val="000000"/>
                <w:sz w:val="20"/>
              </w:rPr>
            </w:pPr>
            <w:r w:rsidRPr="00DC47B0">
              <w:rPr>
                <w:color w:val="000000"/>
                <w:sz w:val="20"/>
              </w:rPr>
              <w:t xml:space="preserve">Ed. 1. Published July 2006. </w:t>
            </w:r>
          </w:p>
          <w:p w:rsidR="007F30B6" w:rsidRPr="00DC47B0" w:rsidRDefault="007F30B6" w:rsidP="007F30B6">
            <w:pPr>
              <w:rPr>
                <w:sz w:val="20"/>
              </w:rPr>
            </w:pPr>
          </w:p>
        </w:tc>
      </w:tr>
      <w:tr w:rsidR="007F30B6" w:rsidRPr="00690096">
        <w:tc>
          <w:tcPr>
            <w:tcW w:w="4786" w:type="dxa"/>
          </w:tcPr>
          <w:p w:rsidR="007F30B6" w:rsidRPr="00DC47B0" w:rsidRDefault="007F30B6" w:rsidP="007F30B6">
            <w:pPr>
              <w:spacing w:after="120"/>
              <w:jc w:val="both"/>
              <w:rPr>
                <w:color w:val="000000"/>
                <w:sz w:val="20"/>
              </w:rPr>
            </w:pPr>
            <w:r w:rsidRPr="00DC47B0">
              <w:rPr>
                <w:color w:val="000000"/>
                <w:sz w:val="20"/>
              </w:rPr>
              <w:t>ISO/IEC 18023-3: SEDRIS Binary Encoding</w:t>
            </w:r>
          </w:p>
        </w:tc>
        <w:tc>
          <w:tcPr>
            <w:tcW w:w="3827" w:type="dxa"/>
          </w:tcPr>
          <w:p w:rsidR="007F30B6" w:rsidRPr="00DC47B0" w:rsidRDefault="007F30B6">
            <w:pPr>
              <w:rPr>
                <w:color w:val="000000"/>
                <w:sz w:val="20"/>
              </w:rPr>
            </w:pPr>
            <w:r w:rsidRPr="00DC47B0">
              <w:rPr>
                <w:color w:val="000000"/>
                <w:sz w:val="20"/>
              </w:rPr>
              <w:t xml:space="preserve">Ed. 1 Amd.1. Published June 2012. </w:t>
            </w:r>
          </w:p>
          <w:p w:rsidR="007F30B6" w:rsidRPr="00DC47B0" w:rsidRDefault="007F30B6">
            <w:pPr>
              <w:rPr>
                <w:sz w:val="20"/>
              </w:rPr>
            </w:pPr>
            <w:r w:rsidRPr="00DC47B0">
              <w:rPr>
                <w:color w:val="000000"/>
                <w:sz w:val="20"/>
              </w:rPr>
              <w:t>NWIP Planned</w:t>
            </w:r>
          </w:p>
        </w:tc>
      </w:tr>
      <w:tr w:rsidR="007F30B6" w:rsidRPr="00690096">
        <w:tc>
          <w:tcPr>
            <w:tcW w:w="4786" w:type="dxa"/>
          </w:tcPr>
          <w:p w:rsidR="007F30B6" w:rsidRPr="00DC47B0" w:rsidRDefault="007F30B6" w:rsidP="007F30B6">
            <w:pPr>
              <w:spacing w:after="120"/>
              <w:jc w:val="both"/>
              <w:rPr>
                <w:color w:val="000000"/>
                <w:sz w:val="20"/>
              </w:rPr>
            </w:pPr>
            <w:r w:rsidRPr="00DC47B0">
              <w:rPr>
                <w:color w:val="000000"/>
                <w:sz w:val="20"/>
              </w:rPr>
              <w:t>ISO/IEC 18024-4: SEDRIS Language Binding to C</w:t>
            </w:r>
          </w:p>
        </w:tc>
        <w:tc>
          <w:tcPr>
            <w:tcW w:w="3827" w:type="dxa"/>
          </w:tcPr>
          <w:p w:rsidR="007F30B6" w:rsidRPr="00DC47B0" w:rsidRDefault="007F30B6">
            <w:pPr>
              <w:rPr>
                <w:color w:val="000000"/>
                <w:sz w:val="20"/>
              </w:rPr>
            </w:pPr>
            <w:r w:rsidRPr="00DC47B0">
              <w:rPr>
                <w:color w:val="000000"/>
                <w:sz w:val="20"/>
              </w:rPr>
              <w:t xml:space="preserve">Ed. 1 Amd.1. Published June 2012. </w:t>
            </w:r>
          </w:p>
          <w:p w:rsidR="007F30B6" w:rsidRPr="00DC47B0" w:rsidRDefault="007F30B6">
            <w:pPr>
              <w:rPr>
                <w:sz w:val="20"/>
              </w:rPr>
            </w:pPr>
            <w:r w:rsidRPr="00DC47B0">
              <w:rPr>
                <w:color w:val="000000"/>
                <w:sz w:val="20"/>
              </w:rPr>
              <w:t>NWIP Planned</w:t>
            </w:r>
          </w:p>
        </w:tc>
      </w:tr>
      <w:tr w:rsidR="007F30B6" w:rsidRPr="00690096">
        <w:tc>
          <w:tcPr>
            <w:tcW w:w="4786" w:type="dxa"/>
          </w:tcPr>
          <w:p w:rsidR="007F30B6" w:rsidRPr="00DC47B0" w:rsidRDefault="007F30B6" w:rsidP="007F30B6">
            <w:pPr>
              <w:jc w:val="both"/>
              <w:rPr>
                <w:color w:val="000000"/>
                <w:sz w:val="20"/>
              </w:rPr>
            </w:pPr>
            <w:r w:rsidRPr="00DC47B0">
              <w:rPr>
                <w:color w:val="000000"/>
                <w:sz w:val="20"/>
              </w:rPr>
              <w:t>ISO/IEC 18025:  Environmental Data Coding Specification (EDCS)</w:t>
            </w:r>
          </w:p>
        </w:tc>
        <w:tc>
          <w:tcPr>
            <w:tcW w:w="3827" w:type="dxa"/>
          </w:tcPr>
          <w:p w:rsidR="007F30B6" w:rsidRPr="00DC47B0" w:rsidRDefault="007F30B6">
            <w:pPr>
              <w:rPr>
                <w:color w:val="000000"/>
                <w:sz w:val="20"/>
              </w:rPr>
            </w:pPr>
            <w:r w:rsidRPr="00DC47B0">
              <w:rPr>
                <w:color w:val="000000"/>
                <w:sz w:val="20"/>
              </w:rPr>
              <w:t xml:space="preserve">Ed. 2. Published February 2014. </w:t>
            </w:r>
          </w:p>
          <w:p w:rsidR="007F30B6" w:rsidRPr="00DC47B0" w:rsidRDefault="007F30B6">
            <w:pPr>
              <w:rPr>
                <w:color w:val="000000"/>
                <w:sz w:val="20"/>
              </w:rPr>
            </w:pPr>
          </w:p>
        </w:tc>
      </w:tr>
      <w:tr w:rsidR="007F30B6" w:rsidRPr="00690096">
        <w:tc>
          <w:tcPr>
            <w:tcW w:w="4786" w:type="dxa"/>
          </w:tcPr>
          <w:p w:rsidR="007F30B6" w:rsidRPr="00DC47B0" w:rsidRDefault="007F30B6" w:rsidP="007F30B6">
            <w:pPr>
              <w:spacing w:after="120"/>
              <w:jc w:val="both"/>
              <w:rPr>
                <w:color w:val="000000"/>
                <w:sz w:val="20"/>
              </w:rPr>
            </w:pPr>
            <w:r w:rsidRPr="00DC47B0">
              <w:rPr>
                <w:color w:val="000000"/>
                <w:sz w:val="20"/>
              </w:rPr>
              <w:t>ISO/IEC 18041-4: EDCS Language Binding to C</w:t>
            </w:r>
          </w:p>
        </w:tc>
        <w:tc>
          <w:tcPr>
            <w:tcW w:w="3827" w:type="dxa"/>
          </w:tcPr>
          <w:p w:rsidR="007F30B6" w:rsidRPr="00DC47B0" w:rsidRDefault="007F30B6" w:rsidP="007F30B6">
            <w:pPr>
              <w:jc w:val="both"/>
              <w:rPr>
                <w:color w:val="000000"/>
                <w:sz w:val="20"/>
              </w:rPr>
            </w:pPr>
            <w:r w:rsidRPr="00DC47B0">
              <w:rPr>
                <w:color w:val="000000"/>
                <w:sz w:val="20"/>
              </w:rPr>
              <w:t>Ed. 3 Published May 2016</w:t>
            </w:r>
            <w:r>
              <w:rPr>
                <w:color w:val="000000"/>
                <w:sz w:val="20"/>
              </w:rPr>
              <w:t>.</w:t>
            </w:r>
          </w:p>
          <w:p w:rsidR="007F30B6" w:rsidRPr="00DC47B0" w:rsidRDefault="007F30B6" w:rsidP="007F30B6">
            <w:pPr>
              <w:jc w:val="both"/>
              <w:rPr>
                <w:color w:val="000000"/>
                <w:sz w:val="20"/>
              </w:rPr>
            </w:pPr>
          </w:p>
        </w:tc>
      </w:tr>
      <w:tr w:rsidR="007F30B6" w:rsidRPr="00690096">
        <w:tc>
          <w:tcPr>
            <w:tcW w:w="4786" w:type="dxa"/>
          </w:tcPr>
          <w:p w:rsidR="007F30B6" w:rsidRPr="00DC47B0" w:rsidRDefault="007F30B6" w:rsidP="007F30B6">
            <w:pPr>
              <w:spacing w:after="120"/>
              <w:jc w:val="both"/>
              <w:rPr>
                <w:color w:val="000000"/>
                <w:sz w:val="20"/>
              </w:rPr>
            </w:pPr>
            <w:r w:rsidRPr="00DC47B0">
              <w:rPr>
                <w:color w:val="000000"/>
                <w:sz w:val="20"/>
              </w:rPr>
              <w:t>ISO/IEC 18026:  Spatial Reference Model (SRM)</w:t>
            </w:r>
          </w:p>
        </w:tc>
        <w:tc>
          <w:tcPr>
            <w:tcW w:w="3827" w:type="dxa"/>
          </w:tcPr>
          <w:p w:rsidR="007F30B6" w:rsidRPr="00DC47B0" w:rsidRDefault="007F30B6" w:rsidP="007F30B6">
            <w:pPr>
              <w:jc w:val="both"/>
              <w:rPr>
                <w:color w:val="000000"/>
                <w:sz w:val="20"/>
              </w:rPr>
            </w:pPr>
            <w:r w:rsidRPr="00DC47B0">
              <w:rPr>
                <w:color w:val="000000"/>
                <w:sz w:val="20"/>
              </w:rPr>
              <w:t xml:space="preserve">Ed. 2. Published July 2009. </w:t>
            </w:r>
          </w:p>
          <w:p w:rsidR="007F30B6" w:rsidRPr="00DC47B0" w:rsidRDefault="007F30B6" w:rsidP="007F30B6">
            <w:pPr>
              <w:jc w:val="both"/>
              <w:rPr>
                <w:color w:val="000000"/>
                <w:sz w:val="20"/>
              </w:rPr>
            </w:pPr>
            <w:r w:rsidRPr="00DC47B0">
              <w:rPr>
                <w:color w:val="000000"/>
                <w:sz w:val="20"/>
              </w:rPr>
              <w:t>NWIP Planned</w:t>
            </w:r>
          </w:p>
        </w:tc>
      </w:tr>
      <w:tr w:rsidR="007F30B6" w:rsidRPr="00690096">
        <w:trPr>
          <w:trHeight w:val="269"/>
        </w:trPr>
        <w:tc>
          <w:tcPr>
            <w:tcW w:w="4786" w:type="dxa"/>
          </w:tcPr>
          <w:p w:rsidR="007F30B6" w:rsidRPr="00DC47B0" w:rsidRDefault="007F30B6" w:rsidP="007F30B6">
            <w:pPr>
              <w:spacing w:after="120"/>
              <w:jc w:val="both"/>
              <w:rPr>
                <w:color w:val="000000"/>
                <w:sz w:val="20"/>
              </w:rPr>
            </w:pPr>
            <w:r w:rsidRPr="00DC47B0">
              <w:rPr>
                <w:color w:val="000000"/>
                <w:sz w:val="20"/>
              </w:rPr>
              <w:t>ISO/IEC 18042-4: SRM Language Binding to C</w:t>
            </w:r>
          </w:p>
        </w:tc>
        <w:tc>
          <w:tcPr>
            <w:tcW w:w="3827" w:type="dxa"/>
          </w:tcPr>
          <w:p w:rsidR="007F30B6" w:rsidRPr="00DC47B0" w:rsidRDefault="007F30B6" w:rsidP="007F30B6">
            <w:pPr>
              <w:jc w:val="both"/>
              <w:rPr>
                <w:color w:val="000000"/>
                <w:sz w:val="20"/>
              </w:rPr>
            </w:pPr>
            <w:r w:rsidRPr="00DC47B0">
              <w:rPr>
                <w:color w:val="000000"/>
                <w:sz w:val="20"/>
              </w:rPr>
              <w:t xml:space="preserve">Ed. 1 </w:t>
            </w:r>
            <w:proofErr w:type="spellStart"/>
            <w:r w:rsidRPr="00DC47B0">
              <w:rPr>
                <w:color w:val="000000"/>
                <w:sz w:val="20"/>
              </w:rPr>
              <w:t>Amd</w:t>
            </w:r>
            <w:proofErr w:type="spellEnd"/>
            <w:r w:rsidRPr="00DC47B0">
              <w:rPr>
                <w:color w:val="000000"/>
                <w:sz w:val="20"/>
              </w:rPr>
              <w:t xml:space="preserve">. 1. Published June 2011. </w:t>
            </w:r>
          </w:p>
          <w:p w:rsidR="007F30B6" w:rsidRPr="00DC47B0" w:rsidRDefault="007F30B6" w:rsidP="007F30B6">
            <w:pPr>
              <w:jc w:val="both"/>
              <w:rPr>
                <w:color w:val="000000"/>
                <w:sz w:val="20"/>
              </w:rPr>
            </w:pPr>
            <w:r w:rsidRPr="00DC47B0">
              <w:rPr>
                <w:color w:val="000000"/>
                <w:sz w:val="20"/>
              </w:rPr>
              <w:t>NWIP planned</w:t>
            </w:r>
          </w:p>
        </w:tc>
      </w:tr>
    </w:tbl>
    <w:p w:rsidR="007F30B6" w:rsidRDefault="007F30B6">
      <w:pPr>
        <w:spacing w:after="120"/>
        <w:jc w:val="both"/>
        <w:rPr>
          <w:color w:val="000000"/>
          <w:sz w:val="20"/>
        </w:rPr>
      </w:pPr>
    </w:p>
    <w:p w:rsidR="00795EF0" w:rsidRDefault="008B7203">
      <w:pPr>
        <w:spacing w:after="120"/>
        <w:jc w:val="both"/>
        <w:rPr>
          <w:color w:val="000000"/>
          <w:sz w:val="22"/>
        </w:rPr>
      </w:pPr>
      <w:r>
        <w:rPr>
          <w:color w:val="000000"/>
          <w:sz w:val="20"/>
        </w:rPr>
        <w:t>For</w:t>
      </w:r>
      <w:r w:rsidR="007F30B6">
        <w:rPr>
          <w:color w:val="000000"/>
          <w:sz w:val="22"/>
        </w:rPr>
        <w:t xml:space="preserve"> </w:t>
      </w:r>
      <w:r w:rsidR="009169AF">
        <w:rPr>
          <w:color w:val="000000"/>
          <w:sz w:val="22"/>
        </w:rPr>
        <w:t xml:space="preserve">future </w:t>
      </w:r>
      <w:r w:rsidR="007F30B6">
        <w:rPr>
          <w:color w:val="000000"/>
          <w:sz w:val="22"/>
        </w:rPr>
        <w:t xml:space="preserve">development </w:t>
      </w:r>
      <w:r w:rsidR="009169AF">
        <w:rPr>
          <w:color w:val="000000"/>
          <w:sz w:val="22"/>
        </w:rPr>
        <w:t xml:space="preserve">and revision </w:t>
      </w:r>
      <w:r w:rsidR="007F30B6">
        <w:rPr>
          <w:color w:val="000000"/>
          <w:sz w:val="22"/>
        </w:rPr>
        <w:t>of the current standards</w:t>
      </w:r>
      <w:r w:rsidR="00F60CBB">
        <w:rPr>
          <w:color w:val="000000"/>
          <w:sz w:val="22"/>
        </w:rPr>
        <w:t>, the first objective is to complete the</w:t>
      </w:r>
      <w:r>
        <w:rPr>
          <w:color w:val="000000"/>
          <w:sz w:val="22"/>
        </w:rPr>
        <w:t xml:space="preserve"> update to Edition 3 of the SRM, ISO/IEC 18026. </w:t>
      </w:r>
      <w:r w:rsidR="00795EF0">
        <w:rPr>
          <w:color w:val="000000"/>
          <w:sz w:val="22"/>
        </w:rPr>
        <w:t>The work to be done is summarized as:</w:t>
      </w:r>
    </w:p>
    <w:p w:rsidR="00795EF0" w:rsidRPr="00E131A4" w:rsidRDefault="00795EF0" w:rsidP="00795EF0">
      <w:pPr>
        <w:pStyle w:val="ListParagraph"/>
        <w:tabs>
          <w:tab w:val="clear" w:pos="720"/>
          <w:tab w:val="num" w:pos="1080"/>
          <w:tab w:val="left" w:pos="2430"/>
        </w:tabs>
        <w:ind w:left="1080"/>
        <w:rPr>
          <w:rFonts w:ascii="Arial" w:hAnsi="Arial" w:cs="Arial"/>
        </w:rPr>
      </w:pPr>
      <w:r w:rsidRPr="00E131A4">
        <w:rPr>
          <w:rFonts w:ascii="Arial" w:hAnsi="Arial" w:cs="Arial"/>
        </w:rPr>
        <w:t>Comprehensive and improved treatment of geodesics</w:t>
      </w:r>
    </w:p>
    <w:p w:rsidR="00795EF0" w:rsidRPr="00E131A4" w:rsidRDefault="00795EF0" w:rsidP="00795EF0">
      <w:pPr>
        <w:pStyle w:val="ListParagraph"/>
        <w:tabs>
          <w:tab w:val="clear" w:pos="720"/>
          <w:tab w:val="num" w:pos="1080"/>
          <w:tab w:val="left" w:pos="2430"/>
        </w:tabs>
        <w:ind w:left="1080"/>
        <w:rPr>
          <w:rFonts w:ascii="Arial" w:hAnsi="Arial" w:cs="Arial"/>
        </w:rPr>
      </w:pPr>
      <w:r w:rsidRPr="00E131A4">
        <w:rPr>
          <w:rFonts w:ascii="Arial" w:hAnsi="Arial" w:cs="Arial"/>
        </w:rPr>
        <w:t>Similarity transformation templates – additional and uniform set of methods to perform datum transformations.</w:t>
      </w:r>
    </w:p>
    <w:p w:rsidR="00795EF0" w:rsidRPr="00E131A4" w:rsidRDefault="00795EF0" w:rsidP="00795EF0">
      <w:pPr>
        <w:pStyle w:val="ListParagraph"/>
        <w:tabs>
          <w:tab w:val="clear" w:pos="720"/>
          <w:tab w:val="num" w:pos="1080"/>
          <w:tab w:val="left" w:pos="2430"/>
        </w:tabs>
        <w:ind w:left="1080"/>
        <w:rPr>
          <w:rFonts w:ascii="Arial" w:hAnsi="Arial" w:cs="Arial"/>
        </w:rPr>
      </w:pPr>
      <w:r w:rsidRPr="00E131A4">
        <w:rPr>
          <w:rFonts w:ascii="Arial" w:hAnsi="Arial" w:cs="Arial"/>
        </w:rPr>
        <w:t>Revision of informative Annex I.6 to cover all cases of error metrics.</w:t>
      </w:r>
    </w:p>
    <w:p w:rsidR="00795EF0" w:rsidRPr="00E131A4" w:rsidRDefault="00795EF0" w:rsidP="00795EF0">
      <w:pPr>
        <w:pStyle w:val="ListParagraph"/>
        <w:tabs>
          <w:tab w:val="clear" w:pos="720"/>
          <w:tab w:val="num" w:pos="1080"/>
          <w:tab w:val="left" w:pos="2430"/>
        </w:tabs>
        <w:ind w:left="1080"/>
        <w:rPr>
          <w:rFonts w:ascii="Arial" w:hAnsi="Arial" w:cs="Arial"/>
        </w:rPr>
      </w:pPr>
      <w:r w:rsidRPr="00E131A4">
        <w:rPr>
          <w:rFonts w:ascii="Arial" w:hAnsi="Arial" w:cs="Arial"/>
        </w:rPr>
        <w:t>Improvement of the accuracy domains in the Default profile (Clause 12).</w:t>
      </w:r>
    </w:p>
    <w:p w:rsidR="00795EF0" w:rsidRPr="00E131A4" w:rsidRDefault="00795EF0" w:rsidP="00795EF0">
      <w:pPr>
        <w:pStyle w:val="ListParagraph"/>
        <w:tabs>
          <w:tab w:val="clear" w:pos="720"/>
          <w:tab w:val="num" w:pos="1080"/>
          <w:tab w:val="left" w:pos="2430"/>
        </w:tabs>
        <w:ind w:left="1080"/>
        <w:rPr>
          <w:rFonts w:ascii="Arial" w:hAnsi="Arial" w:cs="Arial"/>
        </w:rPr>
      </w:pPr>
      <w:r w:rsidRPr="00E131A4">
        <w:rPr>
          <w:rFonts w:ascii="Arial" w:hAnsi="Arial" w:cs="Arial"/>
        </w:rPr>
        <w:t>Comprehensive treatment of rotation and orientation concepts to include rotation of vectors and orientations of objects and coordinate reference frames, and development of the corresponding API functions</w:t>
      </w:r>
    </w:p>
    <w:p w:rsidR="008B7203" w:rsidRDefault="008B7203">
      <w:pPr>
        <w:spacing w:after="120"/>
        <w:jc w:val="both"/>
        <w:rPr>
          <w:color w:val="000000"/>
          <w:sz w:val="22"/>
        </w:rPr>
      </w:pPr>
    </w:p>
    <w:p w:rsidR="008B7203" w:rsidRDefault="008B7203">
      <w:pPr>
        <w:spacing w:after="120"/>
        <w:jc w:val="both"/>
        <w:rPr>
          <w:color w:val="000000"/>
          <w:sz w:val="22"/>
        </w:rPr>
      </w:pPr>
    </w:p>
    <w:p w:rsidR="008B7203" w:rsidRDefault="008B7203">
      <w:pPr>
        <w:spacing w:after="120"/>
        <w:jc w:val="both"/>
        <w:rPr>
          <w:color w:val="000000"/>
          <w:sz w:val="22"/>
        </w:rPr>
      </w:pPr>
    </w:p>
    <w:p w:rsidR="00985989" w:rsidRDefault="00795EF0">
      <w:pPr>
        <w:spacing w:after="120"/>
        <w:jc w:val="both"/>
        <w:rPr>
          <w:color w:val="000000"/>
          <w:sz w:val="22"/>
        </w:rPr>
      </w:pPr>
      <w:r>
        <w:rPr>
          <w:color w:val="000000"/>
          <w:sz w:val="22"/>
        </w:rPr>
        <w:t>When Edition 3 of the SRM has been completed and published,</w:t>
      </w:r>
      <w:r w:rsidR="00BD50C5">
        <w:rPr>
          <w:color w:val="000000"/>
          <w:sz w:val="22"/>
        </w:rPr>
        <w:t xml:space="preserve"> other standards </w:t>
      </w:r>
      <w:r w:rsidR="009169AF">
        <w:rPr>
          <w:color w:val="000000"/>
          <w:sz w:val="22"/>
        </w:rPr>
        <w:t>that depend on the SRM standard</w:t>
      </w:r>
      <w:r w:rsidR="00985989">
        <w:rPr>
          <w:color w:val="000000"/>
          <w:sz w:val="22"/>
        </w:rPr>
        <w:t xml:space="preserve"> (see table above)</w:t>
      </w:r>
      <w:r w:rsidR="009169AF">
        <w:rPr>
          <w:color w:val="000000"/>
          <w:sz w:val="22"/>
        </w:rPr>
        <w:t xml:space="preserve"> </w:t>
      </w:r>
      <w:r w:rsidR="00BD50C5">
        <w:rPr>
          <w:color w:val="000000"/>
          <w:sz w:val="22"/>
        </w:rPr>
        <w:t>will</w:t>
      </w:r>
      <w:r w:rsidR="007F30B6" w:rsidRPr="00D131F9">
        <w:rPr>
          <w:color w:val="000000"/>
          <w:sz w:val="22"/>
        </w:rPr>
        <w:t xml:space="preserve"> need to be </w:t>
      </w:r>
      <w:r w:rsidR="007F30B6">
        <w:rPr>
          <w:color w:val="000000"/>
          <w:sz w:val="22"/>
        </w:rPr>
        <w:t>revised for compatibility with Ed 3 of th</w:t>
      </w:r>
      <w:bookmarkStart w:id="0" w:name="_GoBack"/>
      <w:bookmarkEnd w:id="0"/>
      <w:r w:rsidR="007F30B6">
        <w:rPr>
          <w:color w:val="000000"/>
          <w:sz w:val="22"/>
        </w:rPr>
        <w:t xml:space="preserve">e </w:t>
      </w:r>
      <w:r w:rsidR="007F30B6" w:rsidRPr="00D131F9">
        <w:rPr>
          <w:color w:val="000000"/>
          <w:sz w:val="22"/>
        </w:rPr>
        <w:t>SRM</w:t>
      </w:r>
      <w:r w:rsidR="009169AF" w:rsidRPr="009169AF">
        <w:rPr>
          <w:color w:val="000000"/>
          <w:sz w:val="22"/>
        </w:rPr>
        <w:t xml:space="preserve"> </w:t>
      </w:r>
      <w:r w:rsidR="009169AF">
        <w:rPr>
          <w:color w:val="000000"/>
          <w:sz w:val="22"/>
        </w:rPr>
        <w:t xml:space="preserve">and Ed 2 of the </w:t>
      </w:r>
      <w:r w:rsidR="009169AF" w:rsidRPr="00D131F9">
        <w:rPr>
          <w:color w:val="000000"/>
          <w:sz w:val="22"/>
        </w:rPr>
        <w:t>EDCS</w:t>
      </w:r>
      <w:r w:rsidR="007F30B6">
        <w:rPr>
          <w:color w:val="000000"/>
          <w:sz w:val="22"/>
        </w:rPr>
        <w:t>.</w:t>
      </w:r>
    </w:p>
    <w:p w:rsidR="007F30B6" w:rsidRPr="00D131F9" w:rsidRDefault="007F30B6">
      <w:pPr>
        <w:spacing w:after="120"/>
        <w:jc w:val="both"/>
        <w:rPr>
          <w:color w:val="000000"/>
          <w:sz w:val="22"/>
        </w:rPr>
      </w:pPr>
    </w:p>
    <w:p w:rsidR="00BD50C5" w:rsidRDefault="00BD50C5" w:rsidP="007F30B6">
      <w:pPr>
        <w:spacing w:after="120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All WG 8 documents published </w:t>
      </w:r>
      <w:r w:rsidR="00795EF0">
        <w:rPr>
          <w:color w:val="000000"/>
          <w:sz w:val="22"/>
        </w:rPr>
        <w:t xml:space="preserve">since May 2015 are </w:t>
      </w:r>
      <w:r>
        <w:rPr>
          <w:color w:val="000000"/>
          <w:sz w:val="22"/>
        </w:rPr>
        <w:t xml:space="preserve">on both the WG 8 Document Register and the </w:t>
      </w:r>
      <w:proofErr w:type="spellStart"/>
      <w:r>
        <w:rPr>
          <w:color w:val="000000"/>
          <w:sz w:val="22"/>
        </w:rPr>
        <w:t>LiveLink</w:t>
      </w:r>
      <w:proofErr w:type="spellEnd"/>
      <w:r>
        <w:rPr>
          <w:color w:val="000000"/>
          <w:sz w:val="22"/>
        </w:rPr>
        <w:t xml:space="preserve"> SC 24/WG 8 General Document </w:t>
      </w:r>
      <w:proofErr w:type="gramStart"/>
      <w:r>
        <w:rPr>
          <w:color w:val="000000"/>
          <w:sz w:val="22"/>
        </w:rPr>
        <w:t>folder</w:t>
      </w:r>
      <w:proofErr w:type="gramEnd"/>
      <w:r>
        <w:rPr>
          <w:color w:val="000000"/>
          <w:sz w:val="22"/>
        </w:rPr>
        <w:t xml:space="preserve">. </w:t>
      </w:r>
      <w:r w:rsidR="009169AF">
        <w:rPr>
          <w:color w:val="000000"/>
          <w:sz w:val="22"/>
        </w:rPr>
        <w:t>However, t</w:t>
      </w:r>
      <w:r>
        <w:rPr>
          <w:color w:val="000000"/>
          <w:sz w:val="22"/>
        </w:rPr>
        <w:t xml:space="preserve">he </w:t>
      </w:r>
      <w:proofErr w:type="spellStart"/>
      <w:r>
        <w:rPr>
          <w:color w:val="000000"/>
          <w:sz w:val="22"/>
        </w:rPr>
        <w:t>LiveLink</w:t>
      </w:r>
      <w:proofErr w:type="spellEnd"/>
      <w:r>
        <w:rPr>
          <w:color w:val="000000"/>
          <w:sz w:val="22"/>
        </w:rPr>
        <w:t xml:space="preserve"> folder does not yet have the same facilities available as the WG 8 Document Register.</w:t>
      </w:r>
    </w:p>
    <w:p w:rsidR="00795EF0" w:rsidRDefault="00795EF0" w:rsidP="007F30B6">
      <w:pPr>
        <w:widowControl w:val="0"/>
        <w:autoSpaceDE w:val="0"/>
        <w:autoSpaceDN w:val="0"/>
        <w:adjustRightInd w:val="0"/>
        <w:jc w:val="both"/>
        <w:rPr>
          <w:rFonts w:eastAsia="Symbol" w:cs="Arial"/>
          <w:color w:val="1A1A1A"/>
          <w:sz w:val="22"/>
          <w:szCs w:val="26"/>
        </w:rPr>
      </w:pPr>
    </w:p>
    <w:p w:rsidR="00BB0632" w:rsidRDefault="009169AF" w:rsidP="007F30B6">
      <w:pPr>
        <w:widowControl w:val="0"/>
        <w:autoSpaceDE w:val="0"/>
        <w:autoSpaceDN w:val="0"/>
        <w:adjustRightInd w:val="0"/>
        <w:jc w:val="both"/>
        <w:rPr>
          <w:rFonts w:eastAsia="Symbol" w:cs="Arial"/>
          <w:color w:val="1A1A1A"/>
          <w:sz w:val="22"/>
          <w:szCs w:val="26"/>
        </w:rPr>
      </w:pPr>
      <w:r>
        <w:rPr>
          <w:rFonts w:eastAsia="Symbol" w:cs="Arial"/>
          <w:color w:val="1A1A1A"/>
          <w:sz w:val="22"/>
          <w:szCs w:val="26"/>
        </w:rPr>
        <w:t xml:space="preserve">WG 8 </w:t>
      </w:r>
      <w:r w:rsidR="007F30B6">
        <w:rPr>
          <w:rFonts w:eastAsia="Symbol" w:cs="Arial"/>
          <w:color w:val="1A1A1A"/>
          <w:sz w:val="22"/>
          <w:szCs w:val="26"/>
        </w:rPr>
        <w:t xml:space="preserve">has been </w:t>
      </w:r>
      <w:r>
        <w:rPr>
          <w:rFonts w:eastAsia="Symbol" w:cs="Arial"/>
          <w:color w:val="1A1A1A"/>
          <w:sz w:val="22"/>
          <w:szCs w:val="26"/>
        </w:rPr>
        <w:t xml:space="preserve">involved </w:t>
      </w:r>
      <w:r w:rsidR="007F30B6">
        <w:rPr>
          <w:rFonts w:eastAsia="Symbol" w:cs="Arial"/>
          <w:color w:val="1A1A1A"/>
          <w:sz w:val="22"/>
          <w:szCs w:val="26"/>
        </w:rPr>
        <w:t xml:space="preserve">with two other </w:t>
      </w:r>
      <w:r w:rsidR="00A70284">
        <w:rPr>
          <w:rFonts w:eastAsia="Symbol" w:cs="Arial"/>
          <w:color w:val="1A1A1A"/>
          <w:sz w:val="22"/>
          <w:szCs w:val="26"/>
        </w:rPr>
        <w:t>related</w:t>
      </w:r>
      <w:r w:rsidR="007F30B6">
        <w:rPr>
          <w:rFonts w:eastAsia="Symbol" w:cs="Arial"/>
          <w:color w:val="1A1A1A"/>
          <w:sz w:val="22"/>
          <w:szCs w:val="26"/>
        </w:rPr>
        <w:t xml:space="preserve"> developments</w:t>
      </w:r>
      <w:r w:rsidR="00A70284">
        <w:rPr>
          <w:rFonts w:eastAsia="Symbol" w:cs="Arial"/>
          <w:color w:val="1A1A1A"/>
          <w:sz w:val="22"/>
          <w:szCs w:val="26"/>
        </w:rPr>
        <w:t>;</w:t>
      </w:r>
      <w:r w:rsidR="007F30B6">
        <w:rPr>
          <w:rFonts w:eastAsia="Symbol" w:cs="Arial"/>
          <w:color w:val="1A1A1A"/>
          <w:sz w:val="22"/>
          <w:szCs w:val="26"/>
        </w:rPr>
        <w:t xml:space="preserve"> </w:t>
      </w:r>
      <w:r w:rsidR="00EA5B1A">
        <w:rPr>
          <w:rFonts w:eastAsia="Symbol" w:cs="Arial"/>
          <w:color w:val="1A1A1A"/>
          <w:sz w:val="22"/>
          <w:szCs w:val="26"/>
        </w:rPr>
        <w:t>namely the</w:t>
      </w:r>
      <w:r w:rsidR="007F30B6">
        <w:rPr>
          <w:rFonts w:eastAsia="Symbol" w:cs="Arial"/>
          <w:color w:val="1A1A1A"/>
          <w:sz w:val="22"/>
          <w:szCs w:val="26"/>
        </w:rPr>
        <w:t xml:space="preserve"> MAR (Mixed and Augmented Reality)</w:t>
      </w:r>
      <w:r w:rsidR="00EA5B1A">
        <w:rPr>
          <w:rFonts w:eastAsia="Symbol" w:cs="Arial"/>
          <w:color w:val="1A1A1A"/>
          <w:sz w:val="22"/>
          <w:szCs w:val="26"/>
        </w:rPr>
        <w:t xml:space="preserve"> </w:t>
      </w:r>
      <w:r>
        <w:rPr>
          <w:rFonts w:eastAsia="Symbol" w:cs="Arial"/>
          <w:color w:val="1A1A1A"/>
          <w:sz w:val="22"/>
          <w:szCs w:val="26"/>
        </w:rPr>
        <w:t xml:space="preserve">standards in WG 9 (including </w:t>
      </w:r>
      <w:r w:rsidR="00B36873">
        <w:rPr>
          <w:rFonts w:eastAsia="Symbol" w:cs="Arial"/>
          <w:color w:val="1A1A1A"/>
          <w:sz w:val="22"/>
          <w:szCs w:val="26"/>
        </w:rPr>
        <w:t xml:space="preserve">the MAR </w:t>
      </w:r>
      <w:r w:rsidR="00EA5B1A">
        <w:rPr>
          <w:rFonts w:eastAsia="Symbol" w:cs="Arial"/>
          <w:color w:val="1A1A1A"/>
          <w:sz w:val="22"/>
          <w:szCs w:val="26"/>
        </w:rPr>
        <w:t>Reference Model (18039)</w:t>
      </w:r>
      <w:r w:rsidR="00B36873">
        <w:rPr>
          <w:rFonts w:eastAsia="Symbol" w:cs="Arial"/>
          <w:color w:val="1A1A1A"/>
          <w:sz w:val="22"/>
          <w:szCs w:val="26"/>
        </w:rPr>
        <w:t>)</w:t>
      </w:r>
      <w:r w:rsidR="00EA5B1A">
        <w:rPr>
          <w:rFonts w:eastAsia="Symbol" w:cs="Arial"/>
          <w:color w:val="1A1A1A"/>
          <w:sz w:val="22"/>
          <w:szCs w:val="26"/>
        </w:rPr>
        <w:t xml:space="preserve"> and</w:t>
      </w:r>
      <w:r w:rsidR="007F30B6">
        <w:rPr>
          <w:rFonts w:eastAsia="Symbol" w:cs="Arial"/>
          <w:color w:val="1A1A1A"/>
          <w:sz w:val="22"/>
          <w:szCs w:val="26"/>
        </w:rPr>
        <w:t xml:space="preserve"> the SISO project for the Reuse and Interoperation of Environme</w:t>
      </w:r>
      <w:r w:rsidR="00EA5B1A">
        <w:rPr>
          <w:rFonts w:eastAsia="Symbol" w:cs="Arial"/>
          <w:color w:val="1A1A1A"/>
          <w:sz w:val="22"/>
          <w:szCs w:val="26"/>
        </w:rPr>
        <w:t>ntal Data and Processes (RIEDP).</w:t>
      </w:r>
    </w:p>
    <w:p w:rsidR="00B36873" w:rsidRDefault="00B36873" w:rsidP="007F30B6">
      <w:pPr>
        <w:widowControl w:val="0"/>
        <w:autoSpaceDE w:val="0"/>
        <w:autoSpaceDN w:val="0"/>
        <w:adjustRightInd w:val="0"/>
        <w:jc w:val="both"/>
        <w:rPr>
          <w:rFonts w:eastAsia="Symbol" w:cs="Arial"/>
          <w:color w:val="1A1A1A"/>
          <w:sz w:val="22"/>
          <w:szCs w:val="26"/>
        </w:rPr>
      </w:pPr>
    </w:p>
    <w:p w:rsidR="00B36873" w:rsidRDefault="00B36873" w:rsidP="007F30B6">
      <w:pPr>
        <w:widowControl w:val="0"/>
        <w:autoSpaceDE w:val="0"/>
        <w:autoSpaceDN w:val="0"/>
        <w:adjustRightInd w:val="0"/>
        <w:jc w:val="both"/>
        <w:rPr>
          <w:rFonts w:eastAsia="Symbol" w:cs="Arial"/>
          <w:color w:val="1A1A1A"/>
          <w:sz w:val="22"/>
          <w:szCs w:val="26"/>
        </w:rPr>
      </w:pPr>
      <w:r>
        <w:rPr>
          <w:rFonts w:eastAsia="Symbol" w:cs="Arial"/>
          <w:color w:val="1A1A1A"/>
          <w:sz w:val="22"/>
          <w:szCs w:val="26"/>
        </w:rPr>
        <w:t>WG 8 members have made contributions to the development of many of the WG 9 standards.</w:t>
      </w:r>
    </w:p>
    <w:p w:rsidR="00BB0632" w:rsidRDefault="00BB0632" w:rsidP="007F30B6">
      <w:pPr>
        <w:widowControl w:val="0"/>
        <w:autoSpaceDE w:val="0"/>
        <w:autoSpaceDN w:val="0"/>
        <w:adjustRightInd w:val="0"/>
        <w:jc w:val="both"/>
        <w:rPr>
          <w:rFonts w:eastAsia="Symbol" w:cs="Arial"/>
          <w:color w:val="1A1A1A"/>
          <w:sz w:val="22"/>
          <w:szCs w:val="26"/>
        </w:rPr>
      </w:pPr>
    </w:p>
    <w:p w:rsidR="00EA5B1A" w:rsidRDefault="00BB0632" w:rsidP="007F30B6">
      <w:pPr>
        <w:widowControl w:val="0"/>
        <w:autoSpaceDE w:val="0"/>
        <w:autoSpaceDN w:val="0"/>
        <w:adjustRightInd w:val="0"/>
        <w:jc w:val="both"/>
        <w:rPr>
          <w:rFonts w:eastAsia="Symbol" w:cs="Arial"/>
          <w:color w:val="1A1A1A"/>
          <w:sz w:val="22"/>
          <w:szCs w:val="26"/>
        </w:rPr>
      </w:pPr>
      <w:r>
        <w:rPr>
          <w:rFonts w:eastAsia="Symbol" w:cs="Arial"/>
          <w:color w:val="1A1A1A"/>
          <w:sz w:val="22"/>
          <w:szCs w:val="26"/>
        </w:rPr>
        <w:t xml:space="preserve">The RIEDP project is closely related to </w:t>
      </w:r>
      <w:r w:rsidR="00B36873">
        <w:rPr>
          <w:rFonts w:eastAsia="Symbol" w:cs="Arial"/>
          <w:color w:val="1A1A1A"/>
          <w:sz w:val="22"/>
          <w:szCs w:val="26"/>
        </w:rPr>
        <w:t xml:space="preserve">the </w:t>
      </w:r>
      <w:r>
        <w:rPr>
          <w:rFonts w:eastAsia="Symbol" w:cs="Arial"/>
          <w:color w:val="1A1A1A"/>
          <w:sz w:val="22"/>
          <w:szCs w:val="26"/>
        </w:rPr>
        <w:t xml:space="preserve">SEDRIS standards, since both address the re-use </w:t>
      </w:r>
      <w:r w:rsidR="00B36873">
        <w:rPr>
          <w:rFonts w:eastAsia="Symbol" w:cs="Arial"/>
          <w:color w:val="1A1A1A"/>
          <w:sz w:val="22"/>
          <w:szCs w:val="26"/>
        </w:rPr>
        <w:t xml:space="preserve">and sharing </w:t>
      </w:r>
      <w:r>
        <w:rPr>
          <w:rFonts w:eastAsia="Symbol" w:cs="Arial"/>
          <w:color w:val="1A1A1A"/>
          <w:sz w:val="22"/>
          <w:szCs w:val="26"/>
        </w:rPr>
        <w:t>of environmental data</w:t>
      </w:r>
      <w:r w:rsidR="00883D0D">
        <w:rPr>
          <w:rFonts w:eastAsia="Symbol" w:cs="Arial"/>
          <w:color w:val="1A1A1A"/>
          <w:sz w:val="22"/>
          <w:szCs w:val="26"/>
        </w:rPr>
        <w:t xml:space="preserve">bases. SEDRIS and RIEDP </w:t>
      </w:r>
      <w:r>
        <w:rPr>
          <w:rFonts w:eastAsia="Symbol" w:cs="Arial"/>
          <w:color w:val="1A1A1A"/>
          <w:sz w:val="22"/>
          <w:szCs w:val="26"/>
        </w:rPr>
        <w:t>approach</w:t>
      </w:r>
      <w:r w:rsidR="00B36873">
        <w:rPr>
          <w:rFonts w:eastAsia="Symbol" w:cs="Arial"/>
          <w:color w:val="1A1A1A"/>
          <w:sz w:val="22"/>
          <w:szCs w:val="26"/>
        </w:rPr>
        <w:t xml:space="preserve"> the data sharing topics at different levels</w:t>
      </w:r>
      <w:r w:rsidR="00883D0D">
        <w:rPr>
          <w:rFonts w:eastAsia="Symbol" w:cs="Arial"/>
          <w:color w:val="1A1A1A"/>
          <w:sz w:val="22"/>
          <w:szCs w:val="26"/>
        </w:rPr>
        <w:t>, but are complementary</w:t>
      </w:r>
      <w:r>
        <w:rPr>
          <w:rFonts w:eastAsia="Symbol" w:cs="Arial"/>
          <w:color w:val="1A1A1A"/>
          <w:sz w:val="22"/>
          <w:szCs w:val="26"/>
        </w:rPr>
        <w:t>. RIEDP provi</w:t>
      </w:r>
      <w:r w:rsidR="00883D0D">
        <w:rPr>
          <w:rFonts w:eastAsia="Symbol" w:cs="Arial"/>
          <w:color w:val="1A1A1A"/>
          <w:sz w:val="22"/>
          <w:szCs w:val="26"/>
        </w:rPr>
        <w:t>des two products: the</w:t>
      </w:r>
      <w:r>
        <w:rPr>
          <w:rFonts w:eastAsia="Symbol" w:cs="Arial"/>
          <w:color w:val="1A1A1A"/>
          <w:sz w:val="22"/>
          <w:szCs w:val="26"/>
        </w:rPr>
        <w:t xml:space="preserve"> RIEDP</w:t>
      </w:r>
      <w:r w:rsidR="00883D0D">
        <w:rPr>
          <w:rFonts w:eastAsia="Symbol" w:cs="Arial"/>
          <w:color w:val="1A1A1A"/>
          <w:sz w:val="22"/>
          <w:szCs w:val="26"/>
        </w:rPr>
        <w:t xml:space="preserve"> Data Model Foundations, </w:t>
      </w:r>
      <w:r>
        <w:rPr>
          <w:rFonts w:eastAsia="Symbol" w:cs="Arial"/>
          <w:color w:val="1A1A1A"/>
          <w:sz w:val="22"/>
          <w:szCs w:val="26"/>
        </w:rPr>
        <w:t xml:space="preserve">a SISO </w:t>
      </w:r>
      <w:r w:rsidR="00883D0D">
        <w:rPr>
          <w:rFonts w:eastAsia="Symbol" w:cs="Arial"/>
          <w:color w:val="1A1A1A"/>
          <w:sz w:val="22"/>
          <w:szCs w:val="26"/>
        </w:rPr>
        <w:t>Guidance product, and</w:t>
      </w:r>
      <w:r>
        <w:rPr>
          <w:rFonts w:eastAsia="Symbol" w:cs="Arial"/>
          <w:color w:val="1A1A1A"/>
          <w:sz w:val="22"/>
          <w:szCs w:val="26"/>
        </w:rPr>
        <w:t xml:space="preserve"> the RIEDP Detail</w:t>
      </w:r>
      <w:r w:rsidR="00883D0D">
        <w:rPr>
          <w:rFonts w:eastAsia="Symbol" w:cs="Arial"/>
          <w:color w:val="1A1A1A"/>
          <w:sz w:val="22"/>
          <w:szCs w:val="26"/>
        </w:rPr>
        <w:t>ed Features Description,</w:t>
      </w:r>
      <w:r>
        <w:rPr>
          <w:rFonts w:eastAsia="Symbol" w:cs="Arial"/>
          <w:color w:val="1A1A1A"/>
          <w:sz w:val="22"/>
          <w:szCs w:val="26"/>
        </w:rPr>
        <w:t xml:space="preserve"> a SISO Standard.</w:t>
      </w:r>
      <w:r w:rsidR="00883D0D">
        <w:rPr>
          <w:rFonts w:eastAsia="Symbol" w:cs="Arial"/>
          <w:color w:val="1A1A1A"/>
          <w:sz w:val="22"/>
          <w:szCs w:val="26"/>
        </w:rPr>
        <w:t xml:space="preserve"> </w:t>
      </w:r>
      <w:r w:rsidR="00B36873">
        <w:rPr>
          <w:rFonts w:eastAsia="Symbol" w:cs="Arial"/>
          <w:color w:val="1A1A1A"/>
          <w:sz w:val="22"/>
          <w:szCs w:val="26"/>
        </w:rPr>
        <w:t xml:space="preserve">Both RIEDP specifications reference and rely on the SEDRIS standards, and the development of these RIEDP specifications has been influenced by SEDRIS standards and concepts. </w:t>
      </w:r>
      <w:r w:rsidR="00883D0D">
        <w:rPr>
          <w:rFonts w:eastAsia="Symbol" w:cs="Arial"/>
          <w:color w:val="1A1A1A"/>
          <w:sz w:val="22"/>
          <w:szCs w:val="26"/>
        </w:rPr>
        <w:t>The Data Model Foundations</w:t>
      </w:r>
      <w:r w:rsidR="00A70284">
        <w:rPr>
          <w:rFonts w:eastAsia="Symbol" w:cs="Arial"/>
          <w:color w:val="1A1A1A"/>
          <w:sz w:val="22"/>
          <w:szCs w:val="26"/>
        </w:rPr>
        <w:t xml:space="preserve"> document</w:t>
      </w:r>
      <w:r w:rsidR="00883D0D">
        <w:rPr>
          <w:rFonts w:eastAsia="Symbol" w:cs="Arial"/>
          <w:color w:val="1A1A1A"/>
          <w:sz w:val="22"/>
          <w:szCs w:val="26"/>
        </w:rPr>
        <w:t xml:space="preserve"> has progressed from Version 1.2 to 1.3 during the year</w:t>
      </w:r>
      <w:r w:rsidR="00B36873">
        <w:rPr>
          <w:rFonts w:eastAsia="Symbol" w:cs="Arial"/>
          <w:color w:val="1A1A1A"/>
          <w:sz w:val="22"/>
          <w:szCs w:val="26"/>
        </w:rPr>
        <w:t xml:space="preserve"> and is expected to be published as a SISO Guidance product in the next 3 months.</w:t>
      </w:r>
      <w:r w:rsidR="00883D0D">
        <w:rPr>
          <w:rFonts w:eastAsia="Symbol" w:cs="Arial"/>
          <w:color w:val="1A1A1A"/>
          <w:sz w:val="22"/>
          <w:szCs w:val="26"/>
        </w:rPr>
        <w:t xml:space="preserve"> </w:t>
      </w:r>
      <w:r w:rsidR="00B36873">
        <w:rPr>
          <w:rFonts w:eastAsia="Symbol" w:cs="Arial"/>
          <w:color w:val="1A1A1A"/>
          <w:sz w:val="22"/>
          <w:szCs w:val="26"/>
        </w:rPr>
        <w:t>W</w:t>
      </w:r>
      <w:r w:rsidR="00883D0D">
        <w:rPr>
          <w:rFonts w:eastAsia="Symbol" w:cs="Arial"/>
          <w:color w:val="1A1A1A"/>
          <w:sz w:val="22"/>
          <w:szCs w:val="26"/>
        </w:rPr>
        <w:t>ork has started on the Detailed Features Description</w:t>
      </w:r>
      <w:r w:rsidR="00B36873">
        <w:rPr>
          <w:rFonts w:eastAsia="Symbol" w:cs="Arial"/>
          <w:color w:val="1A1A1A"/>
          <w:sz w:val="22"/>
          <w:szCs w:val="26"/>
        </w:rPr>
        <w:t xml:space="preserve"> specification. This specification depends on the Data Model Foundations product</w:t>
      </w:r>
      <w:r w:rsidR="00883D0D">
        <w:rPr>
          <w:rFonts w:eastAsia="Symbol" w:cs="Arial"/>
          <w:color w:val="1A1A1A"/>
          <w:sz w:val="22"/>
          <w:szCs w:val="26"/>
        </w:rPr>
        <w:t>.</w:t>
      </w:r>
    </w:p>
    <w:p w:rsidR="007F30B6" w:rsidRDefault="007F30B6" w:rsidP="007F30B6">
      <w:pPr>
        <w:widowControl w:val="0"/>
        <w:autoSpaceDE w:val="0"/>
        <w:autoSpaceDN w:val="0"/>
        <w:adjustRightInd w:val="0"/>
        <w:jc w:val="both"/>
        <w:rPr>
          <w:rFonts w:eastAsia="Symbol" w:cs="Arial"/>
          <w:color w:val="1A1A1A"/>
          <w:sz w:val="22"/>
          <w:szCs w:val="26"/>
        </w:rPr>
      </w:pPr>
    </w:p>
    <w:p w:rsidR="007F30B6" w:rsidRDefault="007F30B6" w:rsidP="007F30B6">
      <w:pPr>
        <w:widowControl w:val="0"/>
        <w:autoSpaceDE w:val="0"/>
        <w:autoSpaceDN w:val="0"/>
        <w:adjustRightInd w:val="0"/>
        <w:jc w:val="both"/>
        <w:rPr>
          <w:rFonts w:eastAsia="Symbol" w:cs="Arial"/>
          <w:color w:val="1A1A1A"/>
          <w:sz w:val="22"/>
          <w:szCs w:val="26"/>
        </w:rPr>
      </w:pPr>
      <w:r>
        <w:rPr>
          <w:rFonts w:eastAsia="Symbol" w:cs="Arial"/>
          <w:color w:val="1A1A1A"/>
          <w:sz w:val="22"/>
          <w:szCs w:val="26"/>
        </w:rPr>
        <w:t>There have been no for</w:t>
      </w:r>
      <w:r w:rsidR="00883D0D">
        <w:rPr>
          <w:rFonts w:eastAsia="Symbol" w:cs="Arial"/>
          <w:color w:val="1A1A1A"/>
          <w:sz w:val="22"/>
          <w:szCs w:val="26"/>
        </w:rPr>
        <w:t>mal WG 8 meetings since the 2017</w:t>
      </w:r>
      <w:r>
        <w:rPr>
          <w:rFonts w:eastAsia="Symbol" w:cs="Arial"/>
          <w:color w:val="1A1A1A"/>
          <w:sz w:val="22"/>
          <w:szCs w:val="26"/>
        </w:rPr>
        <w:t xml:space="preserve"> Plenary in </w:t>
      </w:r>
      <w:r w:rsidR="00883D0D">
        <w:rPr>
          <w:rFonts w:eastAsia="Symbol" w:cs="Arial"/>
          <w:color w:val="1A1A1A"/>
          <w:sz w:val="22"/>
          <w:szCs w:val="26"/>
        </w:rPr>
        <w:t>Arlington, USA</w:t>
      </w:r>
      <w:r>
        <w:rPr>
          <w:rFonts w:eastAsia="Symbol" w:cs="Arial"/>
          <w:color w:val="1A1A1A"/>
          <w:sz w:val="22"/>
          <w:szCs w:val="26"/>
        </w:rPr>
        <w:t>. Editors of the SRM standard, however,</w:t>
      </w:r>
      <w:r w:rsidRPr="001B4751">
        <w:rPr>
          <w:rFonts w:eastAsia="Symbol" w:cs="Arial"/>
          <w:color w:val="1A1A1A"/>
          <w:sz w:val="22"/>
          <w:szCs w:val="26"/>
        </w:rPr>
        <w:t xml:space="preserve"> continue to cond</w:t>
      </w:r>
      <w:r>
        <w:rPr>
          <w:rFonts w:eastAsia="Symbol" w:cs="Arial"/>
          <w:color w:val="1A1A1A"/>
          <w:sz w:val="22"/>
          <w:szCs w:val="26"/>
        </w:rPr>
        <w:t xml:space="preserve">uct internal </w:t>
      </w:r>
      <w:r w:rsidRPr="001B4751">
        <w:rPr>
          <w:rFonts w:eastAsia="Symbol" w:cs="Arial"/>
          <w:color w:val="1A1A1A"/>
          <w:sz w:val="22"/>
          <w:szCs w:val="26"/>
        </w:rPr>
        <w:t xml:space="preserve">teleconferences on their </w:t>
      </w:r>
      <w:r>
        <w:rPr>
          <w:rFonts w:eastAsia="Symbol" w:cs="Arial"/>
          <w:color w:val="1A1A1A"/>
          <w:sz w:val="22"/>
          <w:szCs w:val="26"/>
        </w:rPr>
        <w:t xml:space="preserve">standard.  </w:t>
      </w:r>
    </w:p>
    <w:p w:rsidR="007F30B6" w:rsidRPr="001B4751" w:rsidRDefault="007F30B6" w:rsidP="007F30B6">
      <w:pPr>
        <w:widowControl w:val="0"/>
        <w:autoSpaceDE w:val="0"/>
        <w:autoSpaceDN w:val="0"/>
        <w:adjustRightInd w:val="0"/>
        <w:jc w:val="both"/>
        <w:rPr>
          <w:rFonts w:eastAsia="Symbol" w:cs="Arial"/>
          <w:color w:val="1A1A1A"/>
          <w:sz w:val="22"/>
          <w:szCs w:val="26"/>
        </w:rPr>
      </w:pPr>
    </w:p>
    <w:p w:rsidR="007F30B6" w:rsidRPr="00D131F9" w:rsidRDefault="007F30B6" w:rsidP="007F30B6">
      <w:pPr>
        <w:jc w:val="both"/>
        <w:rPr>
          <w:color w:val="000000"/>
          <w:sz w:val="22"/>
        </w:rPr>
      </w:pPr>
      <w:r w:rsidRPr="00D131F9">
        <w:rPr>
          <w:color w:val="000000"/>
          <w:sz w:val="22"/>
        </w:rPr>
        <w:t xml:space="preserve">Respectfully submitted,  </w:t>
      </w:r>
    </w:p>
    <w:p w:rsidR="007F30B6" w:rsidRPr="00D131F9" w:rsidRDefault="007F30B6" w:rsidP="007F30B6">
      <w:pPr>
        <w:jc w:val="both"/>
        <w:rPr>
          <w:color w:val="000000"/>
          <w:sz w:val="22"/>
        </w:rPr>
      </w:pPr>
    </w:p>
    <w:p w:rsidR="007F30B6" w:rsidRPr="00D131F9" w:rsidRDefault="007F30B6" w:rsidP="007F30B6">
      <w:pPr>
        <w:jc w:val="both"/>
        <w:rPr>
          <w:color w:val="000000"/>
          <w:sz w:val="22"/>
        </w:rPr>
      </w:pPr>
      <w:r w:rsidRPr="00D131F9">
        <w:rPr>
          <w:color w:val="000000"/>
          <w:sz w:val="22"/>
        </w:rPr>
        <w:t>Jack Cogman,</w:t>
      </w:r>
    </w:p>
    <w:p w:rsidR="007F30B6" w:rsidRPr="00D131F9" w:rsidRDefault="007F30B6" w:rsidP="007F30B6">
      <w:pPr>
        <w:jc w:val="both"/>
        <w:rPr>
          <w:color w:val="000000"/>
          <w:sz w:val="22"/>
        </w:rPr>
      </w:pPr>
      <w:proofErr w:type="spellStart"/>
      <w:r w:rsidRPr="00D131F9">
        <w:rPr>
          <w:color w:val="000000"/>
          <w:sz w:val="22"/>
        </w:rPr>
        <w:t>Convenor</w:t>
      </w:r>
      <w:proofErr w:type="spellEnd"/>
      <w:r w:rsidRPr="00D131F9">
        <w:rPr>
          <w:color w:val="000000"/>
          <w:sz w:val="22"/>
        </w:rPr>
        <w:t xml:space="preserve"> ISO/IEC JTC 1/SC 24/WG 8: Environmental Data Representation</w:t>
      </w:r>
    </w:p>
    <w:p w:rsidR="007F30B6" w:rsidRPr="00D131F9" w:rsidRDefault="007F30B6" w:rsidP="007F30B6">
      <w:pPr>
        <w:jc w:val="both"/>
        <w:rPr>
          <w:color w:val="000000"/>
          <w:sz w:val="22"/>
        </w:rPr>
      </w:pPr>
      <w:r w:rsidRPr="00D131F9">
        <w:rPr>
          <w:color w:val="000000"/>
          <w:sz w:val="22"/>
        </w:rPr>
        <w:t>201</w:t>
      </w:r>
      <w:r w:rsidR="00985989">
        <w:rPr>
          <w:color w:val="000000"/>
          <w:sz w:val="22"/>
        </w:rPr>
        <w:t>8-07-23</w:t>
      </w:r>
    </w:p>
    <w:sectPr w:rsidR="007F30B6" w:rsidRPr="00D131F9" w:rsidSect="007F30B6">
      <w:pgSz w:w="11904" w:h="16834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Malgun Gothic">
    <w:charset w:val="81"/>
    <w:family w:val="swiss"/>
    <w:pitch w:val="variable"/>
    <w:sig w:usb0="9000002F" w:usb1="29D77CFB" w:usb2="00000012" w:usb3="00000000" w:csb0="0008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A622F8"/>
    <w:multiLevelType w:val="hybridMultilevel"/>
    <w:tmpl w:val="5E0A0E60"/>
    <w:lvl w:ilvl="0" w:tplc="B73C1A54">
      <w:start w:val="1"/>
      <w:numFmt w:val="bullet"/>
      <w:pStyle w:val="ListParagraph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701"/>
  <w:doNotTrackMoves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compat/>
  <w:rsids>
    <w:rsidRoot w:val="00172A27"/>
    <w:rsid w:val="00074716"/>
    <w:rsid w:val="000B0DE0"/>
    <w:rsid w:val="00172A27"/>
    <w:rsid w:val="001C4E5F"/>
    <w:rsid w:val="00241F47"/>
    <w:rsid w:val="003958DA"/>
    <w:rsid w:val="003D3FA4"/>
    <w:rsid w:val="00795EF0"/>
    <w:rsid w:val="007F30B6"/>
    <w:rsid w:val="00883D0D"/>
    <w:rsid w:val="008B7203"/>
    <w:rsid w:val="008E1DEF"/>
    <w:rsid w:val="009169AF"/>
    <w:rsid w:val="00985989"/>
    <w:rsid w:val="00A03069"/>
    <w:rsid w:val="00A70284"/>
    <w:rsid w:val="00AB5207"/>
    <w:rsid w:val="00B1341E"/>
    <w:rsid w:val="00B36873"/>
    <w:rsid w:val="00BB0632"/>
    <w:rsid w:val="00BD50C5"/>
    <w:rsid w:val="00C27DB3"/>
    <w:rsid w:val="00D35EF5"/>
    <w:rsid w:val="00E43587"/>
    <w:rsid w:val="00EA5B1A"/>
    <w:rsid w:val="00EE1CC2"/>
    <w:rsid w:val="00EE704B"/>
    <w:rsid w:val="00F60CBB"/>
  </w:rsids>
  <m:mathPr>
    <m:mathFont m:val="Calibri Light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mbol" w:eastAsia="Symbol" w:hAnsi="Symbol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semiHidden="0" w:unhideWhenUsed="0"/>
    <w:lsdException w:name="index 2" w:semiHidden="0" w:unhideWhenUsed="0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Bullet 2" w:semiHidden="0" w:unhideWhenUsed="0"/>
    <w:lsdException w:name="List Bullet 5" w:semiHidden="0" w:unhideWhenUsed="0"/>
    <w:lsdException w:name="List Number 2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Table Grid" w:locked="1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F2F"/>
    <w:rPr>
      <w:rFonts w:ascii="Arial" w:eastAsia="Times New Roman" w:hAnsi="Arial"/>
      <w:sz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rsid w:val="008D4F2F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8D4F2F"/>
    <w:rPr>
      <w:rFonts w:ascii="Tahoma" w:eastAsia="Symbol" w:hAnsi="Tahoma"/>
      <w:sz w:val="16"/>
    </w:rPr>
  </w:style>
  <w:style w:type="character" w:customStyle="1" w:styleId="BalloonTextChar">
    <w:name w:val="Balloon Text Char"/>
    <w:link w:val="BalloonText"/>
    <w:locked/>
    <w:rsid w:val="008D4F2F"/>
    <w:rPr>
      <w:rFonts w:ascii="Tahoma" w:hAnsi="Tahoma" w:cs="Times New Roman"/>
      <w:sz w:val="16"/>
    </w:rPr>
  </w:style>
  <w:style w:type="character" w:styleId="CommentReference">
    <w:name w:val="annotation reference"/>
    <w:rsid w:val="008D4F2F"/>
    <w:rPr>
      <w:rFonts w:ascii="Symbol" w:hAnsi="Symbol" w:cs="Times New Roman"/>
      <w:sz w:val="16"/>
    </w:rPr>
  </w:style>
  <w:style w:type="paragraph" w:styleId="CommentText">
    <w:name w:val="annotation text"/>
    <w:basedOn w:val="Normal"/>
    <w:link w:val="CommentTextChar"/>
    <w:rsid w:val="008D4F2F"/>
    <w:rPr>
      <w:rFonts w:eastAsia="Symbol"/>
      <w:sz w:val="20"/>
    </w:rPr>
  </w:style>
  <w:style w:type="character" w:customStyle="1" w:styleId="CommentTextChar">
    <w:name w:val="Comment Text Char"/>
    <w:link w:val="CommentText"/>
    <w:locked/>
    <w:rsid w:val="008D4F2F"/>
    <w:rPr>
      <w:rFonts w:ascii="Arial" w:hAnsi="Arial" w:cs="Times New Roman"/>
    </w:rPr>
  </w:style>
  <w:style w:type="paragraph" w:styleId="CommentSubject">
    <w:name w:val="annotation subject"/>
    <w:basedOn w:val="CommentText"/>
    <w:next w:val="CommentText"/>
    <w:link w:val="CommentSubjectChar"/>
    <w:rsid w:val="008D4F2F"/>
    <w:rPr>
      <w:rFonts w:ascii="Symbol" w:hAnsi="Symbol"/>
      <w:b/>
    </w:rPr>
  </w:style>
  <w:style w:type="character" w:customStyle="1" w:styleId="CommentSubjectChar">
    <w:name w:val="Comment Subject Char"/>
    <w:link w:val="CommentSubject"/>
    <w:locked/>
    <w:rsid w:val="008D4F2F"/>
    <w:rPr>
      <w:rFonts w:ascii="Symbol" w:hAnsi="Symbol" w:cs="Times New Roman"/>
      <w:b/>
    </w:rPr>
  </w:style>
  <w:style w:type="paragraph" w:styleId="NormalWeb">
    <w:name w:val="Normal (Web)"/>
    <w:basedOn w:val="Normal"/>
    <w:uiPriority w:val="99"/>
    <w:rsid w:val="00074716"/>
    <w:pPr>
      <w:spacing w:beforeLines="1" w:afterLines="1"/>
    </w:pPr>
    <w:rPr>
      <w:rFonts w:ascii="Times" w:eastAsia="Symbol" w:hAnsi="Times"/>
      <w:sz w:val="20"/>
      <w:lang w:val="en-GB"/>
    </w:rPr>
  </w:style>
  <w:style w:type="paragraph" w:styleId="ListParagraph">
    <w:name w:val="List Paragraph"/>
    <w:basedOn w:val="Normal"/>
    <w:uiPriority w:val="34"/>
    <w:qFormat/>
    <w:rsid w:val="00795EF0"/>
    <w:pPr>
      <w:widowControl w:val="0"/>
      <w:numPr>
        <w:numId w:val="1"/>
      </w:numPr>
      <w:wordWrap w:val="0"/>
      <w:autoSpaceDE w:val="0"/>
      <w:autoSpaceDN w:val="0"/>
      <w:spacing w:after="120"/>
      <w:contextualSpacing/>
      <w:jc w:val="both"/>
    </w:pPr>
    <w:rPr>
      <w:rFonts w:ascii="Malgun Gothic" w:hAnsi="Malgun Gothic"/>
      <w:kern w:val="2"/>
      <w:sz w:val="20"/>
      <w:szCs w:val="22"/>
      <w:lang w:eastAsia="ko-K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mbol" w:eastAsia="Symbol" w:hAnsi="Symbol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semiHidden="0" w:unhideWhenUsed="0"/>
    <w:lsdException w:name="index 2" w:semiHidden="0" w:unhideWhenUsed="0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Bullet 2" w:semiHidden="0" w:unhideWhenUsed="0"/>
    <w:lsdException w:name="List Bullet 5" w:semiHidden="0" w:unhideWhenUsed="0"/>
    <w:lsdException w:name="List Number 2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Table Grid" w:locked="1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F2F"/>
    <w:rPr>
      <w:rFonts w:ascii="Arial" w:eastAsia="Times New Roman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D4F2F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8D4F2F"/>
    <w:rPr>
      <w:rFonts w:ascii="Tahoma" w:eastAsia="Symbol" w:hAnsi="Tahoma"/>
      <w:sz w:val="16"/>
    </w:rPr>
  </w:style>
  <w:style w:type="character" w:customStyle="1" w:styleId="BalloonTextChar">
    <w:name w:val="Balloon Text Char"/>
    <w:link w:val="BalloonText"/>
    <w:locked/>
    <w:rsid w:val="008D4F2F"/>
    <w:rPr>
      <w:rFonts w:ascii="Tahoma" w:hAnsi="Tahoma" w:cs="Times New Roman"/>
      <w:sz w:val="16"/>
    </w:rPr>
  </w:style>
  <w:style w:type="character" w:styleId="CommentReference">
    <w:name w:val="annotation reference"/>
    <w:rsid w:val="008D4F2F"/>
    <w:rPr>
      <w:rFonts w:ascii="Symbol" w:hAnsi="Symbol" w:cs="Times New Roman"/>
      <w:sz w:val="16"/>
    </w:rPr>
  </w:style>
  <w:style w:type="paragraph" w:styleId="CommentText">
    <w:name w:val="annotation text"/>
    <w:basedOn w:val="Normal"/>
    <w:link w:val="CommentTextChar"/>
    <w:rsid w:val="008D4F2F"/>
    <w:rPr>
      <w:rFonts w:eastAsia="Symbol"/>
      <w:sz w:val="20"/>
    </w:rPr>
  </w:style>
  <w:style w:type="character" w:customStyle="1" w:styleId="CommentTextChar">
    <w:name w:val="Comment Text Char"/>
    <w:link w:val="CommentText"/>
    <w:locked/>
    <w:rsid w:val="008D4F2F"/>
    <w:rPr>
      <w:rFonts w:ascii="Arial" w:hAnsi="Arial" w:cs="Times New Roman"/>
    </w:rPr>
  </w:style>
  <w:style w:type="paragraph" w:styleId="CommentSubject">
    <w:name w:val="annotation subject"/>
    <w:basedOn w:val="CommentText"/>
    <w:next w:val="CommentText"/>
    <w:link w:val="CommentSubjectChar"/>
    <w:rsid w:val="008D4F2F"/>
    <w:rPr>
      <w:rFonts w:ascii="Symbol" w:hAnsi="Symbol"/>
      <w:b/>
    </w:rPr>
  </w:style>
  <w:style w:type="character" w:customStyle="1" w:styleId="CommentSubjectChar">
    <w:name w:val="Comment Subject Char"/>
    <w:link w:val="CommentSubject"/>
    <w:locked/>
    <w:rsid w:val="008D4F2F"/>
    <w:rPr>
      <w:rFonts w:ascii="Symbol" w:hAnsi="Symbol" w:cs="Times New Roman"/>
      <w:b/>
    </w:rPr>
  </w:style>
  <w:style w:type="paragraph" w:styleId="NormalWeb">
    <w:name w:val="Normal (Web)"/>
    <w:basedOn w:val="Normal"/>
    <w:uiPriority w:val="99"/>
    <w:rsid w:val="00074716"/>
    <w:pPr>
      <w:spacing w:beforeLines="1" w:afterLines="1"/>
    </w:pPr>
    <w:rPr>
      <w:rFonts w:ascii="Times" w:eastAsia="Symbol" w:hAnsi="Times"/>
      <w:sz w:val="20"/>
      <w:lang w:val="en-GB"/>
    </w:rPr>
  </w:style>
  <w:style w:type="paragraph" w:styleId="ListParagraph">
    <w:name w:val="List Paragraph"/>
    <w:basedOn w:val="Normal"/>
    <w:uiPriority w:val="34"/>
    <w:qFormat/>
    <w:rsid w:val="00795EF0"/>
    <w:pPr>
      <w:widowControl w:val="0"/>
      <w:numPr>
        <w:numId w:val="1"/>
      </w:numPr>
      <w:wordWrap w:val="0"/>
      <w:autoSpaceDE w:val="0"/>
      <w:autoSpaceDN w:val="0"/>
      <w:spacing w:after="120"/>
      <w:contextualSpacing/>
      <w:jc w:val="both"/>
    </w:pPr>
    <w:rPr>
      <w:rFonts w:ascii="Malgun Gothic" w:hAnsi="Malgun Gothic"/>
      <w:kern w:val="2"/>
      <w:sz w:val="20"/>
      <w:szCs w:val="22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8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14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5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41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8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572</Words>
  <Characters>3264</Characters>
  <Application>Microsoft Macintosh Word</Application>
  <DocSecurity>0</DocSecurity>
  <Lines>27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Convenor's Report</vt:lpstr>
    </vt:vector>
  </TitlesOfParts>
  <Manager/>
  <Company/>
  <LinksUpToDate>false</LinksUpToDate>
  <CharactersWithSpaces>4008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Convenor's Report</dc:title>
  <dc:subject>WG 8 2016 Conveneor's report</dc:subject>
  <dc:creator>Jack Cogman</dc:creator>
  <cp:keywords/>
  <dc:description/>
  <cp:lastModifiedBy>Jack Cogman</cp:lastModifiedBy>
  <cp:revision>2</cp:revision>
  <dcterms:created xsi:type="dcterms:W3CDTF">2018-07-23T17:38:00Z</dcterms:created>
  <dcterms:modified xsi:type="dcterms:W3CDTF">2018-07-23T17:38:00Z</dcterms:modified>
  <cp:category/>
</cp:coreProperties>
</file>