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B3" w:rsidRDefault="00C27DB3">
      <w:pPr>
        <w:spacing w:before="100" w:after="100"/>
        <w:jc w:val="right"/>
        <w:rPr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2"/>
        </w:rPr>
        <w:t>ISO/IEC JTC 1/SC 24/WG 8 N</w:t>
      </w:r>
      <w:r w:rsidR="003D3FA4">
        <w:rPr>
          <w:rFonts w:ascii="Times New Roman" w:hAnsi="Times New Roman"/>
          <w:b/>
          <w:sz w:val="22"/>
        </w:rPr>
        <w:t>06</w:t>
      </w:r>
      <w:r w:rsidR="000A5903">
        <w:rPr>
          <w:rFonts w:ascii="Times New Roman" w:hAnsi="Times New Roman"/>
          <w:b/>
          <w:sz w:val="22"/>
        </w:rPr>
        <w:t>39</w:t>
      </w:r>
    </w:p>
    <w:p w:rsidR="00C27DB3" w:rsidRPr="00D131F9" w:rsidRDefault="00C27DB3">
      <w:pPr>
        <w:spacing w:before="100" w:after="100"/>
        <w:jc w:val="center"/>
        <w:rPr>
          <w:b/>
          <w:color w:val="000000"/>
          <w:sz w:val="16"/>
        </w:rPr>
      </w:pPr>
    </w:p>
    <w:p w:rsidR="00C27DB3" w:rsidRDefault="00C27DB3">
      <w:pPr>
        <w:spacing w:before="100" w:after="1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SC 24/</w:t>
      </w:r>
      <w:r w:rsidRPr="00EC1515">
        <w:rPr>
          <w:b/>
          <w:color w:val="000000"/>
          <w:sz w:val="28"/>
        </w:rPr>
        <w:t>WG 8</w:t>
      </w:r>
      <w:r w:rsidRPr="004E12F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Convener’s Report</w:t>
      </w:r>
    </w:p>
    <w:p w:rsidR="00C27DB3" w:rsidRDefault="00C27DB3">
      <w:pPr>
        <w:spacing w:before="100" w:after="1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for the</w:t>
      </w:r>
    </w:p>
    <w:p w:rsidR="00074716" w:rsidRPr="000A5903" w:rsidRDefault="00C27DB3" w:rsidP="000A5903">
      <w:pPr>
        <w:pStyle w:val="NormalWeb"/>
        <w:spacing w:before="2" w:after="2"/>
        <w:jc w:val="center"/>
        <w:rPr>
          <w:rFonts w:ascii="Arial" w:hAnsi="Arial"/>
          <w:b/>
          <w:color w:val="000000"/>
          <w:sz w:val="28"/>
        </w:rPr>
      </w:pPr>
      <w:r w:rsidRPr="00074716">
        <w:rPr>
          <w:rFonts w:ascii="Arial" w:hAnsi="Arial"/>
          <w:b/>
          <w:color w:val="000000"/>
          <w:sz w:val="28"/>
        </w:rPr>
        <w:t>WG 8 and SC 24 Plenary Meetings,</w:t>
      </w:r>
    </w:p>
    <w:p w:rsidR="00C27DB3" w:rsidRPr="00654110" w:rsidRDefault="00654110" w:rsidP="00883D0D">
      <w:pPr>
        <w:pStyle w:val="NormalWeb"/>
        <w:spacing w:before="2" w:after="2"/>
        <w:jc w:val="center"/>
      </w:pPr>
      <w:r w:rsidRPr="00654110">
        <w:rPr>
          <w:rFonts w:ascii="Arial" w:hAnsi="Arial"/>
          <w:b/>
          <w:sz w:val="28"/>
          <w:szCs w:val="24"/>
        </w:rPr>
        <w:t xml:space="preserve">Takamatsu, </w:t>
      </w:r>
      <w:r w:rsidR="000A5903">
        <w:rPr>
          <w:rFonts w:ascii="Arial" w:hAnsi="Arial"/>
          <w:b/>
          <w:sz w:val="28"/>
          <w:szCs w:val="24"/>
        </w:rPr>
        <w:t xml:space="preserve">Kagawa 760-0019, </w:t>
      </w:r>
      <w:r w:rsidRPr="00654110">
        <w:rPr>
          <w:rFonts w:ascii="Arial" w:hAnsi="Arial"/>
          <w:b/>
          <w:sz w:val="28"/>
          <w:szCs w:val="24"/>
        </w:rPr>
        <w:t>Japan</w:t>
      </w:r>
    </w:p>
    <w:p w:rsidR="00883D0D" w:rsidRPr="00654110" w:rsidRDefault="00654110">
      <w:pPr>
        <w:spacing w:before="100" w:after="100"/>
        <w:jc w:val="center"/>
        <w:rPr>
          <w:b/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>26 - 30</w:t>
      </w:r>
      <w:r w:rsidR="00074716" w:rsidRPr="00654110">
        <w:rPr>
          <w:b/>
          <w:color w:val="000000"/>
          <w:sz w:val="28"/>
          <w:lang w:val="en-GB"/>
        </w:rPr>
        <w:t xml:space="preserve"> August 201</w:t>
      </w:r>
      <w:r>
        <w:rPr>
          <w:b/>
          <w:color w:val="000000"/>
          <w:sz w:val="28"/>
          <w:lang w:val="en-GB"/>
        </w:rPr>
        <w:t>9</w:t>
      </w:r>
    </w:p>
    <w:p w:rsidR="00C27DB3" w:rsidRPr="00654110" w:rsidRDefault="00C27DB3">
      <w:pPr>
        <w:spacing w:before="100" w:after="100"/>
        <w:jc w:val="center"/>
        <w:rPr>
          <w:b/>
          <w:color w:val="000000"/>
          <w:sz w:val="28"/>
          <w:lang w:val="en-GB"/>
        </w:rPr>
      </w:pPr>
    </w:p>
    <w:p w:rsidR="00C27DB3" w:rsidRDefault="00074716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>T</w:t>
      </w:r>
      <w:r w:rsidR="00C27DB3">
        <w:rPr>
          <w:color w:val="000000"/>
          <w:sz w:val="22"/>
        </w:rPr>
        <w:t xml:space="preserve">he progress </w:t>
      </w:r>
      <w:r w:rsidR="000A5903">
        <w:rPr>
          <w:color w:val="000000"/>
          <w:sz w:val="22"/>
        </w:rPr>
        <w:t xml:space="preserve">during 2018-19 </w:t>
      </w:r>
      <w:r>
        <w:rPr>
          <w:color w:val="000000"/>
          <w:sz w:val="22"/>
        </w:rPr>
        <w:t xml:space="preserve">of </w:t>
      </w:r>
      <w:r w:rsidR="00C27DB3">
        <w:rPr>
          <w:color w:val="000000"/>
          <w:sz w:val="22"/>
        </w:rPr>
        <w:t>SC 24/WG 8</w:t>
      </w:r>
      <w:r w:rsidR="000A5903">
        <w:rPr>
          <w:color w:val="000000"/>
          <w:sz w:val="22"/>
        </w:rPr>
        <w:t>,</w:t>
      </w:r>
      <w:r w:rsidR="00C27DB3" w:rsidRPr="00D131F9">
        <w:rPr>
          <w:color w:val="000000"/>
          <w:sz w:val="22"/>
        </w:rPr>
        <w:t xml:space="preserve"> in co-operation with the SEDRIS Organization, </w:t>
      </w:r>
      <w:r>
        <w:rPr>
          <w:color w:val="000000"/>
          <w:sz w:val="22"/>
        </w:rPr>
        <w:t>is summarized in this report</w:t>
      </w:r>
      <w:r w:rsidR="00C27DB3">
        <w:rPr>
          <w:color w:val="000000"/>
          <w:sz w:val="22"/>
        </w:rPr>
        <w:t>.</w:t>
      </w:r>
    </w:p>
    <w:p w:rsidR="00C27DB3" w:rsidRPr="00D131F9" w:rsidRDefault="00C27DB3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WG 8 </w:t>
      </w:r>
      <w:r w:rsidRPr="00D131F9">
        <w:rPr>
          <w:color w:val="000000"/>
          <w:sz w:val="22"/>
        </w:rPr>
        <w:t xml:space="preserve">is responsible for standards relating to the representation and interchange of environmental data. The </w:t>
      </w:r>
      <w:r>
        <w:rPr>
          <w:color w:val="000000"/>
          <w:sz w:val="22"/>
        </w:rPr>
        <w:t xml:space="preserve">current versions of the </w:t>
      </w:r>
      <w:r w:rsidRPr="00D131F9">
        <w:rPr>
          <w:color w:val="000000"/>
          <w:sz w:val="22"/>
        </w:rPr>
        <w:t>WG 8 Standards</w:t>
      </w:r>
      <w:r>
        <w:rPr>
          <w:color w:val="000000"/>
          <w:sz w:val="22"/>
        </w:rPr>
        <w:t xml:space="preserve"> are unchanged from last year and are as shown in the table below</w:t>
      </w:r>
      <w:r w:rsidRPr="00D131F9">
        <w:rPr>
          <w:color w:val="000000"/>
          <w:sz w:val="22"/>
        </w:rPr>
        <w:t>;</w:t>
      </w:r>
    </w:p>
    <w:p w:rsidR="00C27DB3" w:rsidRDefault="00C27DB3">
      <w:pPr>
        <w:spacing w:after="120"/>
        <w:jc w:val="both"/>
        <w:rPr>
          <w:color w:val="000000"/>
          <w:sz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3827"/>
      </w:tblGrid>
      <w:tr w:rsidR="007F30B6" w:rsidRPr="00690096">
        <w:trPr>
          <w:trHeight w:val="267"/>
        </w:trPr>
        <w:tc>
          <w:tcPr>
            <w:tcW w:w="4786" w:type="dxa"/>
          </w:tcPr>
          <w:p w:rsidR="00C27DB3" w:rsidRPr="00DC47B0" w:rsidRDefault="00C27DB3" w:rsidP="007F30B6">
            <w:pPr>
              <w:spacing w:after="120"/>
              <w:jc w:val="center"/>
              <w:rPr>
                <w:b/>
                <w:color w:val="000000"/>
                <w:sz w:val="20"/>
              </w:rPr>
            </w:pPr>
            <w:r w:rsidRPr="00DC47B0">
              <w:rPr>
                <w:b/>
                <w:color w:val="000000"/>
                <w:sz w:val="20"/>
              </w:rPr>
              <w:t>Standard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spacing w:after="120"/>
              <w:jc w:val="center"/>
              <w:rPr>
                <w:b/>
                <w:color w:val="000000"/>
                <w:sz w:val="20"/>
              </w:rPr>
            </w:pPr>
            <w:r w:rsidRPr="00DC47B0">
              <w:rPr>
                <w:b/>
                <w:color w:val="000000"/>
                <w:sz w:val="20"/>
              </w:rPr>
              <w:t>Current Status</w:t>
            </w: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9973 Procedures for registration of items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3 published July 2013. 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>
        <w:trPr>
          <w:trHeight w:val="358"/>
        </w:trPr>
        <w:tc>
          <w:tcPr>
            <w:tcW w:w="4786" w:type="dxa"/>
          </w:tcPr>
          <w:p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ISO/IEC 18023-1: SEDRIS </w:t>
            </w:r>
            <w:r w:rsidR="00630034">
              <w:rPr>
                <w:color w:val="000000"/>
                <w:sz w:val="20"/>
              </w:rPr>
              <w:t>Functional Specification (</w:t>
            </w:r>
            <w:r w:rsidRPr="00DC47B0">
              <w:rPr>
                <w:color w:val="000000"/>
                <w:sz w:val="20"/>
              </w:rPr>
              <w:t>DRM and API</w:t>
            </w:r>
            <w:r w:rsidR="00630034">
              <w:rPr>
                <w:color w:val="000000"/>
                <w:sz w:val="20"/>
              </w:rPr>
              <w:t>)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 Amd.1 Published June 2012. 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>
        <w:trPr>
          <w:trHeight w:val="327"/>
        </w:trPr>
        <w:tc>
          <w:tcPr>
            <w:tcW w:w="4786" w:type="dxa"/>
          </w:tcPr>
          <w:p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18023-2: SEDRIS Abstract Transmittal</w:t>
            </w:r>
            <w:r w:rsidR="00630034">
              <w:rPr>
                <w:color w:val="000000"/>
                <w:sz w:val="20"/>
              </w:rPr>
              <w:t xml:space="preserve"> Format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1. Published July 2006. </w:t>
            </w:r>
          </w:p>
          <w:p w:rsidR="007F30B6" w:rsidRPr="00DC47B0" w:rsidRDefault="007F30B6" w:rsidP="007F30B6">
            <w:pPr>
              <w:rPr>
                <w:sz w:val="20"/>
              </w:rPr>
            </w:pP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ISO/IEC 18023-3: SEDRIS </w:t>
            </w:r>
            <w:r w:rsidR="00630034">
              <w:rPr>
                <w:color w:val="000000"/>
                <w:sz w:val="20"/>
              </w:rPr>
              <w:t xml:space="preserve">Transmittal Format </w:t>
            </w:r>
            <w:r w:rsidRPr="00DC47B0">
              <w:rPr>
                <w:color w:val="000000"/>
                <w:sz w:val="20"/>
              </w:rPr>
              <w:t>Binary Encoding</w:t>
            </w:r>
          </w:p>
        </w:tc>
        <w:tc>
          <w:tcPr>
            <w:tcW w:w="3827" w:type="dxa"/>
          </w:tcPr>
          <w:p w:rsidR="007F30B6" w:rsidRPr="00DC47B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 Amd.1. Published June 2012. </w:t>
            </w:r>
          </w:p>
          <w:p w:rsidR="007F30B6" w:rsidRPr="00DC47B0" w:rsidRDefault="007F30B6">
            <w:pPr>
              <w:rPr>
                <w:sz w:val="20"/>
              </w:rPr>
            </w:pP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18024-4: SEDRIS Language Binding to C</w:t>
            </w:r>
          </w:p>
        </w:tc>
        <w:tc>
          <w:tcPr>
            <w:tcW w:w="3827" w:type="dxa"/>
          </w:tcPr>
          <w:p w:rsidR="007F30B6" w:rsidRPr="0065411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Ed. 1 Amd.1. Published June 2012</w:t>
            </w: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630034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18025:  Environmental Data Coding Specification (EDCS)</w:t>
            </w:r>
          </w:p>
        </w:tc>
        <w:tc>
          <w:tcPr>
            <w:tcW w:w="3827" w:type="dxa"/>
          </w:tcPr>
          <w:p w:rsidR="007F30B6" w:rsidRPr="00DC47B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2. Published February 2014. </w:t>
            </w:r>
          </w:p>
          <w:p w:rsidR="007F30B6" w:rsidRPr="00DC47B0" w:rsidRDefault="007F30B6">
            <w:pPr>
              <w:rPr>
                <w:color w:val="000000"/>
                <w:sz w:val="20"/>
              </w:rPr>
            </w:pP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18041-4: EDCS Language Binding to C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Ed. 3 Published May 2016</w:t>
            </w:r>
            <w:r>
              <w:rPr>
                <w:color w:val="000000"/>
                <w:sz w:val="20"/>
              </w:rPr>
              <w:t>.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18026:  Spatial Reference Model (SRM)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2. Published July 2009. 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>
        <w:trPr>
          <w:trHeight w:val="269"/>
        </w:trPr>
        <w:tc>
          <w:tcPr>
            <w:tcW w:w="4786" w:type="dxa"/>
          </w:tcPr>
          <w:p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18042-4: SRM Language Binding to C</w:t>
            </w:r>
          </w:p>
        </w:tc>
        <w:tc>
          <w:tcPr>
            <w:tcW w:w="3827" w:type="dxa"/>
          </w:tcPr>
          <w:p w:rsidR="007F30B6" w:rsidRPr="00DC47B0" w:rsidRDefault="006D0FD2" w:rsidP="007F30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Ed. 1 Amd.</w:t>
            </w:r>
            <w:r w:rsidR="007F30B6" w:rsidRPr="00DC47B0">
              <w:rPr>
                <w:color w:val="000000"/>
                <w:sz w:val="20"/>
              </w:rPr>
              <w:t xml:space="preserve">1. Published June 2011. 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7F30B6" w:rsidRDefault="007F30B6">
      <w:pPr>
        <w:spacing w:after="120"/>
        <w:jc w:val="both"/>
        <w:rPr>
          <w:color w:val="000000"/>
          <w:sz w:val="20"/>
        </w:rPr>
      </w:pPr>
    </w:p>
    <w:p w:rsidR="00B1428E" w:rsidRDefault="008C5F33">
      <w:pPr>
        <w:spacing w:after="120"/>
        <w:jc w:val="both"/>
        <w:rPr>
          <w:color w:val="000000"/>
          <w:sz w:val="22"/>
        </w:rPr>
      </w:pPr>
      <w:r w:rsidRPr="000A5903">
        <w:rPr>
          <w:color w:val="000000"/>
          <w:sz w:val="22"/>
        </w:rPr>
        <w:t xml:space="preserve">In May of this year, </w:t>
      </w:r>
      <w:r w:rsidR="000A5903">
        <w:rPr>
          <w:color w:val="000000"/>
          <w:sz w:val="22"/>
        </w:rPr>
        <w:t xml:space="preserve">the </w:t>
      </w:r>
      <w:r w:rsidRPr="000A5903">
        <w:rPr>
          <w:color w:val="000000"/>
          <w:sz w:val="22"/>
        </w:rPr>
        <w:t xml:space="preserve">SC 24 </w:t>
      </w:r>
      <w:r w:rsidR="000A5903">
        <w:rPr>
          <w:color w:val="000000"/>
          <w:sz w:val="22"/>
        </w:rPr>
        <w:t>Secretary (now referred to as</w:t>
      </w:r>
      <w:r w:rsidR="00D54B8A">
        <w:rPr>
          <w:color w:val="000000"/>
          <w:sz w:val="22"/>
        </w:rPr>
        <w:t xml:space="preserve"> Committee Manager)</w:t>
      </w:r>
      <w:r w:rsidR="000C41A5">
        <w:rPr>
          <w:color w:val="000000"/>
          <w:sz w:val="22"/>
        </w:rPr>
        <w:t xml:space="preserve"> </w:t>
      </w:r>
      <w:r w:rsidRPr="000A5903">
        <w:rPr>
          <w:color w:val="000000"/>
          <w:sz w:val="22"/>
        </w:rPr>
        <w:t xml:space="preserve">received an email from the Technical </w:t>
      </w:r>
      <w:proofErr w:type="spellStart"/>
      <w:r w:rsidRPr="000A5903">
        <w:rPr>
          <w:color w:val="000000"/>
          <w:sz w:val="22"/>
        </w:rPr>
        <w:t>Programme</w:t>
      </w:r>
      <w:proofErr w:type="spellEnd"/>
      <w:r w:rsidRPr="000A5903">
        <w:rPr>
          <w:color w:val="000000"/>
          <w:sz w:val="22"/>
        </w:rPr>
        <w:t xml:space="preserve"> Manager at ISO to remind us that WGs that do not have any work items in their </w:t>
      </w:r>
      <w:proofErr w:type="gramStart"/>
      <w:r w:rsidRPr="000A5903">
        <w:rPr>
          <w:color w:val="000000"/>
          <w:sz w:val="22"/>
        </w:rPr>
        <w:t>schedule</w:t>
      </w:r>
      <w:r w:rsidR="00630034">
        <w:rPr>
          <w:color w:val="000000"/>
          <w:sz w:val="22"/>
        </w:rPr>
        <w:t>,</w:t>
      </w:r>
      <w:proofErr w:type="gramEnd"/>
      <w:r w:rsidRPr="000A5903">
        <w:rPr>
          <w:color w:val="000000"/>
          <w:sz w:val="22"/>
        </w:rPr>
        <w:t xml:space="preserve"> need to be disbanded. This is the case with WG 8, so it is essential that New Work Items </w:t>
      </w:r>
      <w:proofErr w:type="gramStart"/>
      <w:r w:rsidRPr="000A5903">
        <w:rPr>
          <w:color w:val="000000"/>
          <w:sz w:val="22"/>
        </w:rPr>
        <w:t>are</w:t>
      </w:r>
      <w:proofErr w:type="gramEnd"/>
      <w:r w:rsidRPr="000A5903">
        <w:rPr>
          <w:color w:val="000000"/>
          <w:sz w:val="22"/>
        </w:rPr>
        <w:t xml:space="preserve"> </w:t>
      </w:r>
      <w:r w:rsidR="00DC60BB">
        <w:rPr>
          <w:color w:val="000000"/>
          <w:sz w:val="22"/>
        </w:rPr>
        <w:t>proposed</w:t>
      </w:r>
      <w:r w:rsidRPr="000A5903">
        <w:rPr>
          <w:color w:val="000000"/>
          <w:sz w:val="22"/>
        </w:rPr>
        <w:t xml:space="preserve">. </w:t>
      </w:r>
    </w:p>
    <w:p w:rsidR="008C5F33" w:rsidRPr="000A5903" w:rsidRDefault="00D14ADB">
      <w:pPr>
        <w:spacing w:after="120"/>
        <w:jc w:val="both"/>
        <w:rPr>
          <w:color w:val="000000"/>
          <w:sz w:val="22"/>
        </w:rPr>
      </w:pPr>
      <w:r w:rsidRPr="00630034">
        <w:rPr>
          <w:color w:val="000000"/>
          <w:sz w:val="22"/>
        </w:rPr>
        <w:t>Based on the on-going web-based</w:t>
      </w:r>
      <w:r w:rsidR="00B1428E" w:rsidRPr="00630034">
        <w:rPr>
          <w:color w:val="000000"/>
          <w:sz w:val="22"/>
        </w:rPr>
        <w:t xml:space="preserve"> </w:t>
      </w:r>
      <w:r w:rsidRPr="00630034">
        <w:rPr>
          <w:color w:val="000000"/>
          <w:sz w:val="22"/>
        </w:rPr>
        <w:t xml:space="preserve">graphics </w:t>
      </w:r>
      <w:r w:rsidR="00B1428E" w:rsidRPr="00630034">
        <w:rPr>
          <w:color w:val="000000"/>
          <w:sz w:val="22"/>
        </w:rPr>
        <w:t>work by the Korean</w:t>
      </w:r>
      <w:r w:rsidR="004801C0" w:rsidRPr="00630034">
        <w:rPr>
          <w:color w:val="000000"/>
          <w:sz w:val="22"/>
        </w:rPr>
        <w:t xml:space="preserve"> National B</w:t>
      </w:r>
      <w:r w:rsidR="00B1428E" w:rsidRPr="00630034">
        <w:rPr>
          <w:color w:val="000000"/>
          <w:sz w:val="22"/>
        </w:rPr>
        <w:t>ody to visualize various SEDRIS data</w:t>
      </w:r>
      <w:r w:rsidR="008C5F33" w:rsidRPr="000A5903">
        <w:rPr>
          <w:color w:val="000000"/>
          <w:sz w:val="22"/>
        </w:rPr>
        <w:t xml:space="preserve">, the following NWIPs </w:t>
      </w:r>
      <w:bookmarkStart w:id="0" w:name="_GoBack"/>
      <w:bookmarkEnd w:id="0"/>
      <w:r w:rsidR="000C41A5">
        <w:rPr>
          <w:color w:val="000000"/>
          <w:sz w:val="22"/>
        </w:rPr>
        <w:t>will be present</w:t>
      </w:r>
      <w:r w:rsidR="00DC60BB">
        <w:rPr>
          <w:color w:val="000000"/>
          <w:sz w:val="22"/>
        </w:rPr>
        <w:t>ed for approval at the 2019</w:t>
      </w:r>
      <w:r w:rsidR="000C41A5">
        <w:rPr>
          <w:color w:val="000000"/>
          <w:sz w:val="22"/>
        </w:rPr>
        <w:t xml:space="preserve"> Plenary</w:t>
      </w:r>
      <w:r w:rsidR="00DC60BB">
        <w:rPr>
          <w:color w:val="000000"/>
          <w:sz w:val="22"/>
        </w:rPr>
        <w:t xml:space="preserve"> in Takamatsu, Japan</w:t>
      </w:r>
      <w:r w:rsidR="008C5F33" w:rsidRPr="000A5903">
        <w:rPr>
          <w:color w:val="000000"/>
          <w:sz w:val="22"/>
        </w:rPr>
        <w:t>:</w:t>
      </w:r>
    </w:p>
    <w:p w:rsidR="008C5F33" w:rsidRPr="000A5903" w:rsidRDefault="008C5F33">
      <w:pPr>
        <w:spacing w:after="120"/>
        <w:jc w:val="both"/>
        <w:rPr>
          <w:color w:val="000000"/>
          <w:sz w:val="22"/>
        </w:rPr>
      </w:pPr>
      <w:r w:rsidRPr="000A5903">
        <w:rPr>
          <w:color w:val="000000"/>
          <w:sz w:val="22"/>
        </w:rPr>
        <w:t>SEDRIS Language Binding for C++</w:t>
      </w:r>
    </w:p>
    <w:p w:rsidR="008C5F33" w:rsidRPr="000A5903" w:rsidRDefault="008C5F33">
      <w:pPr>
        <w:spacing w:after="120"/>
        <w:jc w:val="both"/>
        <w:rPr>
          <w:color w:val="000000"/>
          <w:sz w:val="22"/>
        </w:rPr>
      </w:pPr>
      <w:r w:rsidRPr="000A5903">
        <w:rPr>
          <w:color w:val="000000"/>
          <w:sz w:val="22"/>
        </w:rPr>
        <w:t xml:space="preserve">EDCS Language Binding for </w:t>
      </w:r>
      <w:r w:rsidR="00595B8A" w:rsidRPr="000A5903">
        <w:rPr>
          <w:color w:val="000000"/>
          <w:sz w:val="22"/>
        </w:rPr>
        <w:t>C++</w:t>
      </w:r>
    </w:p>
    <w:p w:rsidR="008C5F33" w:rsidRPr="000C41A5" w:rsidRDefault="000C41A5">
      <w:pPr>
        <w:spacing w:after="120"/>
        <w:jc w:val="both"/>
        <w:rPr>
          <w:color w:val="000000"/>
          <w:sz w:val="22"/>
        </w:rPr>
      </w:pPr>
      <w:r w:rsidRPr="000C41A5">
        <w:rPr>
          <w:color w:val="000000"/>
          <w:sz w:val="22"/>
        </w:rPr>
        <w:t>The previous</w:t>
      </w:r>
      <w:r>
        <w:rPr>
          <w:color w:val="000000"/>
          <w:sz w:val="22"/>
        </w:rPr>
        <w:t xml:space="preserve"> high priority task of completing the upgrade of 18026 (SRM) to Ed. 3 </w:t>
      </w:r>
      <w:r w:rsidR="00DC60BB">
        <w:rPr>
          <w:color w:val="000000"/>
          <w:sz w:val="22"/>
        </w:rPr>
        <w:t>cannot be started at present</w:t>
      </w:r>
      <w:r>
        <w:rPr>
          <w:color w:val="000000"/>
          <w:sz w:val="22"/>
        </w:rPr>
        <w:t xml:space="preserve"> due to insufficient resources</w:t>
      </w:r>
      <w:r w:rsidR="008533B2">
        <w:rPr>
          <w:color w:val="000000"/>
          <w:sz w:val="22"/>
        </w:rPr>
        <w:t>, so will have to wait</w:t>
      </w:r>
      <w:r>
        <w:rPr>
          <w:color w:val="000000"/>
          <w:sz w:val="22"/>
        </w:rPr>
        <w:t>.</w:t>
      </w:r>
    </w:p>
    <w:p w:rsidR="008C5F33" w:rsidRDefault="008C5F33">
      <w:pPr>
        <w:spacing w:after="120"/>
        <w:jc w:val="both"/>
        <w:rPr>
          <w:color w:val="000000"/>
          <w:sz w:val="20"/>
        </w:rPr>
      </w:pPr>
    </w:p>
    <w:p w:rsidR="008C5F33" w:rsidRDefault="008C5F33">
      <w:pPr>
        <w:spacing w:after="120"/>
        <w:jc w:val="both"/>
        <w:rPr>
          <w:color w:val="000000"/>
          <w:sz w:val="20"/>
        </w:rPr>
      </w:pPr>
    </w:p>
    <w:p w:rsidR="007F30B6" w:rsidRPr="00D131F9" w:rsidRDefault="007F30B6">
      <w:pPr>
        <w:spacing w:after="120"/>
        <w:jc w:val="both"/>
        <w:rPr>
          <w:color w:val="000000"/>
          <w:sz w:val="22"/>
        </w:rPr>
      </w:pPr>
    </w:p>
    <w:p w:rsidR="00BD50C5" w:rsidRDefault="00BD50C5" w:rsidP="007F30B6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All WG 8 documents published </w:t>
      </w:r>
      <w:r w:rsidR="00795EF0">
        <w:rPr>
          <w:color w:val="000000"/>
          <w:sz w:val="22"/>
        </w:rPr>
        <w:t xml:space="preserve">since May 2015 are </w:t>
      </w:r>
      <w:r>
        <w:rPr>
          <w:color w:val="000000"/>
          <w:sz w:val="22"/>
        </w:rPr>
        <w:t xml:space="preserve">on both the WG 8 Document Register and the </w:t>
      </w:r>
      <w:proofErr w:type="spellStart"/>
      <w:r>
        <w:rPr>
          <w:color w:val="000000"/>
          <w:sz w:val="22"/>
        </w:rPr>
        <w:t>LiveLink</w:t>
      </w:r>
      <w:proofErr w:type="spellEnd"/>
      <w:r>
        <w:rPr>
          <w:color w:val="000000"/>
          <w:sz w:val="22"/>
        </w:rPr>
        <w:t xml:space="preserve"> SC 24/WG 8 General Document </w:t>
      </w:r>
      <w:proofErr w:type="gramStart"/>
      <w:r>
        <w:rPr>
          <w:color w:val="000000"/>
          <w:sz w:val="22"/>
        </w:rPr>
        <w:t>folder</w:t>
      </w:r>
      <w:proofErr w:type="gramEnd"/>
      <w:r>
        <w:rPr>
          <w:color w:val="000000"/>
          <w:sz w:val="22"/>
        </w:rPr>
        <w:t xml:space="preserve">. </w:t>
      </w:r>
    </w:p>
    <w:p w:rsidR="00795EF0" w:rsidRDefault="00795EF0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8533B2" w:rsidRDefault="009169AF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WG 8 </w:t>
      </w:r>
      <w:r w:rsidR="007F30B6">
        <w:rPr>
          <w:rFonts w:eastAsia="Symbol" w:cs="Arial"/>
          <w:color w:val="1A1A1A"/>
          <w:sz w:val="22"/>
          <w:szCs w:val="26"/>
        </w:rPr>
        <w:t xml:space="preserve">has been </w:t>
      </w:r>
      <w:r>
        <w:rPr>
          <w:rFonts w:eastAsia="Symbol" w:cs="Arial"/>
          <w:color w:val="1A1A1A"/>
          <w:sz w:val="22"/>
          <w:szCs w:val="26"/>
        </w:rPr>
        <w:t xml:space="preserve">involved </w:t>
      </w:r>
      <w:r w:rsidR="008533B2">
        <w:rPr>
          <w:rFonts w:eastAsia="Symbol" w:cs="Arial"/>
          <w:color w:val="1A1A1A"/>
          <w:sz w:val="22"/>
          <w:szCs w:val="26"/>
        </w:rPr>
        <w:t>with two other</w:t>
      </w:r>
      <w:r w:rsidR="007F30B6">
        <w:rPr>
          <w:rFonts w:eastAsia="Symbol" w:cs="Arial"/>
          <w:color w:val="1A1A1A"/>
          <w:sz w:val="22"/>
          <w:szCs w:val="26"/>
        </w:rPr>
        <w:t xml:space="preserve"> developments</w:t>
      </w:r>
      <w:r w:rsidR="008533B2">
        <w:rPr>
          <w:rFonts w:eastAsia="Symbol" w:cs="Arial"/>
          <w:color w:val="1A1A1A"/>
          <w:sz w:val="22"/>
          <w:szCs w:val="26"/>
        </w:rPr>
        <w:t xml:space="preserve">, both of which </w:t>
      </w:r>
      <w:r w:rsidR="00D14ADB">
        <w:rPr>
          <w:rFonts w:eastAsia="Symbol" w:cs="Arial"/>
          <w:color w:val="1A1A1A"/>
          <w:sz w:val="22"/>
          <w:szCs w:val="26"/>
        </w:rPr>
        <w:t>are</w:t>
      </w:r>
      <w:r w:rsidR="008533B2">
        <w:rPr>
          <w:rFonts w:eastAsia="Symbol" w:cs="Arial"/>
          <w:color w:val="1A1A1A"/>
          <w:sz w:val="22"/>
          <w:szCs w:val="26"/>
        </w:rPr>
        <w:t xml:space="preserve"> to widen the use of the SEDRIS set of standards.</w:t>
      </w:r>
    </w:p>
    <w:p w:rsidR="008533B2" w:rsidRDefault="008533B2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3C739C" w:rsidRDefault="00DC60BB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The </w:t>
      </w:r>
      <w:r w:rsidR="007F30B6">
        <w:rPr>
          <w:rFonts w:eastAsia="Symbol" w:cs="Arial"/>
          <w:color w:val="1A1A1A"/>
          <w:sz w:val="22"/>
          <w:szCs w:val="26"/>
        </w:rPr>
        <w:t xml:space="preserve">SISO project for </w:t>
      </w:r>
      <w:r w:rsidR="003C739C">
        <w:rPr>
          <w:rFonts w:eastAsia="Symbol" w:cs="Arial"/>
          <w:color w:val="1A1A1A"/>
          <w:sz w:val="22"/>
          <w:szCs w:val="26"/>
        </w:rPr>
        <w:t>RIEDP (</w:t>
      </w:r>
      <w:r w:rsidR="007F30B6">
        <w:rPr>
          <w:rFonts w:eastAsia="Symbol" w:cs="Arial"/>
          <w:color w:val="1A1A1A"/>
          <w:sz w:val="22"/>
          <w:szCs w:val="26"/>
        </w:rPr>
        <w:t>Reuse and Interoperation of Environme</w:t>
      </w:r>
      <w:r w:rsidR="003C739C">
        <w:rPr>
          <w:rFonts w:eastAsia="Symbol" w:cs="Arial"/>
          <w:color w:val="1A1A1A"/>
          <w:sz w:val="22"/>
          <w:szCs w:val="26"/>
        </w:rPr>
        <w:t>ntal Data and Processes</w:t>
      </w:r>
      <w:r w:rsidR="008533B2">
        <w:rPr>
          <w:rFonts w:eastAsia="Symbol" w:cs="Arial"/>
          <w:color w:val="1A1A1A"/>
          <w:sz w:val="22"/>
          <w:szCs w:val="26"/>
        </w:rPr>
        <w:t>)</w:t>
      </w:r>
      <w:r w:rsidR="003C739C">
        <w:rPr>
          <w:rFonts w:eastAsia="Symbol" w:cs="Arial"/>
          <w:color w:val="1A1A1A"/>
          <w:sz w:val="22"/>
          <w:szCs w:val="26"/>
        </w:rPr>
        <w:t xml:space="preserve"> provides two products: the RIEDP Data Model Foundations, a SISO Guidance product, and the RIEDP Detailed Features Description, a SISO Standard.</w:t>
      </w:r>
    </w:p>
    <w:p w:rsidR="004A58C9" w:rsidRDefault="004A58C9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Both of these documents make use of existing WG 8 standards.</w:t>
      </w:r>
    </w:p>
    <w:p w:rsidR="004A58C9" w:rsidRDefault="004A58C9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4A58C9" w:rsidRDefault="004A58C9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Support is being given to the SC 24 Study Group on System Integration Visualization (SIV). At the JTC 1/WG 11 Smart Cities meeting </w:t>
      </w:r>
      <w:r w:rsidR="00DC60BB">
        <w:rPr>
          <w:rFonts w:eastAsia="Symbol" w:cs="Arial"/>
          <w:color w:val="1A1A1A"/>
          <w:sz w:val="22"/>
          <w:szCs w:val="26"/>
        </w:rPr>
        <w:t xml:space="preserve">held </w:t>
      </w:r>
      <w:r>
        <w:rPr>
          <w:rFonts w:eastAsia="Symbol" w:cs="Arial"/>
          <w:color w:val="1A1A1A"/>
          <w:sz w:val="22"/>
          <w:szCs w:val="26"/>
        </w:rPr>
        <w:t>in July at BSI London, a presentation was given to show how SC 24 standards could help to visualize Smart City data.</w:t>
      </w:r>
    </w:p>
    <w:p w:rsidR="004A58C9" w:rsidRDefault="004A58C9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4A58C9" w:rsidRDefault="003C739C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Further information</w:t>
      </w:r>
      <w:r w:rsidR="004A58C9">
        <w:rPr>
          <w:rFonts w:eastAsia="Symbol" w:cs="Arial"/>
          <w:color w:val="1A1A1A"/>
          <w:sz w:val="22"/>
          <w:szCs w:val="26"/>
        </w:rPr>
        <w:t xml:space="preserve"> on both RIEDP and Smart Cities </w:t>
      </w:r>
      <w:r>
        <w:rPr>
          <w:rFonts w:eastAsia="Symbol" w:cs="Arial"/>
          <w:color w:val="1A1A1A"/>
          <w:sz w:val="22"/>
          <w:szCs w:val="26"/>
        </w:rPr>
        <w:t>will be given in</w:t>
      </w:r>
      <w:r w:rsidR="004A58C9">
        <w:rPr>
          <w:rFonts w:eastAsia="Symbol" w:cs="Arial"/>
          <w:color w:val="1A1A1A"/>
          <w:sz w:val="22"/>
          <w:szCs w:val="26"/>
        </w:rPr>
        <w:t xml:space="preserve"> the Technical Presentation session at the Takamatsu Plenary.</w:t>
      </w:r>
    </w:p>
    <w:p w:rsidR="00B36873" w:rsidRDefault="00B36873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B36873" w:rsidRDefault="00B36873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WG 8 members have </w:t>
      </w:r>
      <w:r w:rsidR="003C739C">
        <w:rPr>
          <w:rFonts w:eastAsia="Symbol" w:cs="Arial"/>
          <w:color w:val="1A1A1A"/>
          <w:sz w:val="22"/>
          <w:szCs w:val="26"/>
        </w:rPr>
        <w:t xml:space="preserve">also </w:t>
      </w:r>
      <w:r>
        <w:rPr>
          <w:rFonts w:eastAsia="Symbol" w:cs="Arial"/>
          <w:color w:val="1A1A1A"/>
          <w:sz w:val="22"/>
          <w:szCs w:val="26"/>
        </w:rPr>
        <w:t>made contribu</w:t>
      </w:r>
      <w:r w:rsidR="00DC60BB">
        <w:rPr>
          <w:rFonts w:eastAsia="Symbol" w:cs="Arial"/>
          <w:color w:val="1A1A1A"/>
          <w:sz w:val="22"/>
          <w:szCs w:val="26"/>
        </w:rPr>
        <w:t>tions to the development of some</w:t>
      </w:r>
      <w:r>
        <w:rPr>
          <w:rFonts w:eastAsia="Symbol" w:cs="Arial"/>
          <w:color w:val="1A1A1A"/>
          <w:sz w:val="22"/>
          <w:szCs w:val="26"/>
        </w:rPr>
        <w:t xml:space="preserve"> of the WG 9 standards</w:t>
      </w:r>
      <w:r w:rsidR="003C739C">
        <w:rPr>
          <w:rFonts w:eastAsia="Symbol" w:cs="Arial"/>
          <w:color w:val="1A1A1A"/>
          <w:sz w:val="22"/>
          <w:szCs w:val="26"/>
        </w:rPr>
        <w:t xml:space="preserve"> for MAR</w:t>
      </w:r>
      <w:r>
        <w:rPr>
          <w:rFonts w:eastAsia="Symbol" w:cs="Arial"/>
          <w:color w:val="1A1A1A"/>
          <w:sz w:val="22"/>
          <w:szCs w:val="26"/>
        </w:rPr>
        <w:t>.</w:t>
      </w:r>
    </w:p>
    <w:p w:rsidR="00BB0632" w:rsidRDefault="00BB0632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3C739C" w:rsidRDefault="00DC60BB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There have been no face-to-face</w:t>
      </w:r>
      <w:r w:rsidR="003C739C">
        <w:rPr>
          <w:rFonts w:eastAsia="Symbol" w:cs="Arial"/>
          <w:color w:val="1A1A1A"/>
          <w:sz w:val="22"/>
          <w:szCs w:val="26"/>
        </w:rPr>
        <w:t xml:space="preserve"> WG 8 meetings since the 2018</w:t>
      </w:r>
      <w:r w:rsidR="007F30B6">
        <w:rPr>
          <w:rFonts w:eastAsia="Symbol" w:cs="Arial"/>
          <w:color w:val="1A1A1A"/>
          <w:sz w:val="22"/>
          <w:szCs w:val="26"/>
        </w:rPr>
        <w:t xml:space="preserve"> Plenary in </w:t>
      </w:r>
      <w:r w:rsidR="003C739C">
        <w:rPr>
          <w:rFonts w:eastAsia="Symbol" w:cs="Arial"/>
          <w:color w:val="1A1A1A"/>
          <w:sz w:val="22"/>
          <w:szCs w:val="26"/>
        </w:rPr>
        <w:t>Toulouse, France</w:t>
      </w:r>
      <w:r w:rsidR="007F30B6">
        <w:rPr>
          <w:rFonts w:eastAsia="Symbol" w:cs="Arial"/>
          <w:color w:val="1A1A1A"/>
          <w:sz w:val="22"/>
          <w:szCs w:val="26"/>
        </w:rPr>
        <w:t xml:space="preserve">. </w:t>
      </w:r>
      <w:r w:rsidR="003C739C">
        <w:rPr>
          <w:rFonts w:eastAsia="Symbol" w:cs="Arial"/>
          <w:color w:val="1A1A1A"/>
          <w:sz w:val="22"/>
          <w:szCs w:val="26"/>
        </w:rPr>
        <w:t>Work has continued</w:t>
      </w:r>
      <w:r>
        <w:rPr>
          <w:rFonts w:eastAsia="Symbol" w:cs="Arial"/>
          <w:color w:val="1A1A1A"/>
          <w:sz w:val="22"/>
          <w:szCs w:val="26"/>
        </w:rPr>
        <w:t>, however,</w:t>
      </w:r>
      <w:r w:rsidR="003C739C">
        <w:rPr>
          <w:rFonts w:eastAsia="Symbol" w:cs="Arial"/>
          <w:color w:val="1A1A1A"/>
          <w:sz w:val="22"/>
          <w:szCs w:val="26"/>
        </w:rPr>
        <w:t xml:space="preserve"> via web meetings and e-mail</w:t>
      </w:r>
      <w:r w:rsidR="007F30B6">
        <w:rPr>
          <w:rFonts w:eastAsia="Symbol" w:cs="Arial"/>
          <w:color w:val="1A1A1A"/>
          <w:sz w:val="22"/>
          <w:szCs w:val="26"/>
        </w:rPr>
        <w:t xml:space="preserve">.  </w:t>
      </w:r>
    </w:p>
    <w:p w:rsidR="003C739C" w:rsidRDefault="003C739C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7F30B6" w:rsidRDefault="003C739C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The current WG 8 </w:t>
      </w:r>
      <w:proofErr w:type="spellStart"/>
      <w:r>
        <w:rPr>
          <w:rFonts w:eastAsia="Symbol" w:cs="Arial"/>
          <w:color w:val="1A1A1A"/>
          <w:sz w:val="22"/>
          <w:szCs w:val="26"/>
        </w:rPr>
        <w:t>Convenor</w:t>
      </w:r>
      <w:proofErr w:type="spellEnd"/>
      <w:r>
        <w:rPr>
          <w:rFonts w:eastAsia="Symbol" w:cs="Arial"/>
          <w:color w:val="1A1A1A"/>
          <w:sz w:val="22"/>
          <w:szCs w:val="26"/>
        </w:rPr>
        <w:t xml:space="preserve"> has been in post for </w:t>
      </w:r>
      <w:r w:rsidR="00630034">
        <w:rPr>
          <w:rFonts w:eastAsia="Symbol" w:cs="Arial"/>
          <w:color w:val="1A1A1A"/>
          <w:sz w:val="22"/>
          <w:szCs w:val="26"/>
        </w:rPr>
        <w:t xml:space="preserve">almost </w:t>
      </w:r>
      <w:r>
        <w:rPr>
          <w:rFonts w:eastAsia="Symbol" w:cs="Arial"/>
          <w:color w:val="1A1A1A"/>
          <w:sz w:val="22"/>
          <w:szCs w:val="26"/>
        </w:rPr>
        <w:t>20 years and feels it is ti</w:t>
      </w:r>
      <w:r w:rsidR="00630034">
        <w:rPr>
          <w:rFonts w:eastAsia="Symbol" w:cs="Arial"/>
          <w:color w:val="1A1A1A"/>
          <w:sz w:val="22"/>
          <w:szCs w:val="26"/>
        </w:rPr>
        <w:t>me for a change. He therefore plans to announce at the 2019 SC 24 Plenary in Takamatsu his intenti</w:t>
      </w:r>
      <w:r w:rsidR="006D0FD2">
        <w:rPr>
          <w:rFonts w:eastAsia="Symbol" w:cs="Arial"/>
          <w:color w:val="1A1A1A"/>
          <w:sz w:val="22"/>
          <w:szCs w:val="26"/>
        </w:rPr>
        <w:t xml:space="preserve">on to stand down as WG 8 </w:t>
      </w:r>
      <w:proofErr w:type="spellStart"/>
      <w:r w:rsidR="006D0FD2">
        <w:rPr>
          <w:rFonts w:eastAsia="Symbol" w:cs="Arial"/>
          <w:color w:val="1A1A1A"/>
          <w:sz w:val="22"/>
          <w:szCs w:val="26"/>
        </w:rPr>
        <w:t>Conveno</w:t>
      </w:r>
      <w:r w:rsidR="00630034">
        <w:rPr>
          <w:rFonts w:eastAsia="Symbol" w:cs="Arial"/>
          <w:color w:val="1A1A1A"/>
          <w:sz w:val="22"/>
          <w:szCs w:val="26"/>
        </w:rPr>
        <w:t>r</w:t>
      </w:r>
      <w:proofErr w:type="spellEnd"/>
      <w:r>
        <w:rPr>
          <w:rFonts w:eastAsia="Symbol" w:cs="Arial"/>
          <w:color w:val="1A1A1A"/>
          <w:sz w:val="22"/>
          <w:szCs w:val="26"/>
        </w:rPr>
        <w:t>.</w:t>
      </w:r>
    </w:p>
    <w:p w:rsidR="007F30B6" w:rsidRPr="001B4751" w:rsidRDefault="007F30B6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 xml:space="preserve">Respectfully submitted,  </w:t>
      </w:r>
    </w:p>
    <w:p w:rsidR="007F30B6" w:rsidRPr="00D131F9" w:rsidRDefault="007F30B6" w:rsidP="007F30B6">
      <w:pPr>
        <w:jc w:val="both"/>
        <w:rPr>
          <w:color w:val="000000"/>
          <w:sz w:val="22"/>
        </w:rPr>
      </w:pPr>
    </w:p>
    <w:p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>Jack Cogman,</w:t>
      </w:r>
    </w:p>
    <w:p w:rsidR="007F30B6" w:rsidRPr="00D131F9" w:rsidRDefault="007F30B6" w:rsidP="007F30B6">
      <w:pPr>
        <w:jc w:val="both"/>
        <w:rPr>
          <w:color w:val="000000"/>
          <w:sz w:val="22"/>
        </w:rPr>
      </w:pPr>
      <w:proofErr w:type="spellStart"/>
      <w:r w:rsidRPr="00D131F9">
        <w:rPr>
          <w:color w:val="000000"/>
          <w:sz w:val="22"/>
        </w:rPr>
        <w:t>Convenor</w:t>
      </w:r>
      <w:proofErr w:type="spellEnd"/>
      <w:r w:rsidRPr="00D131F9">
        <w:rPr>
          <w:color w:val="000000"/>
          <w:sz w:val="22"/>
        </w:rPr>
        <w:t xml:space="preserve"> ISO/IEC JTC 1/SC 24/WG 8: Environmental Data Representation</w:t>
      </w:r>
    </w:p>
    <w:p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>201</w:t>
      </w:r>
      <w:r w:rsidR="006D0FD2">
        <w:rPr>
          <w:color w:val="000000"/>
          <w:sz w:val="22"/>
        </w:rPr>
        <w:t>9-08-09</w:t>
      </w:r>
    </w:p>
    <w:sectPr w:rsidR="007F30B6" w:rsidRPr="00D131F9" w:rsidSect="007F30B6">
      <w:pgSz w:w="11904" w:h="16834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22F8"/>
    <w:multiLevelType w:val="hybridMultilevel"/>
    <w:tmpl w:val="5E0A0E60"/>
    <w:lvl w:ilvl="0" w:tplc="B73C1A54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/>
  <w:rsids>
    <w:rsidRoot w:val="00172A27"/>
    <w:rsid w:val="00074716"/>
    <w:rsid w:val="000A5903"/>
    <w:rsid w:val="000B0DE0"/>
    <w:rsid w:val="000C41A5"/>
    <w:rsid w:val="00172A27"/>
    <w:rsid w:val="001C4E5F"/>
    <w:rsid w:val="00241F47"/>
    <w:rsid w:val="003958DA"/>
    <w:rsid w:val="003C739C"/>
    <w:rsid w:val="003D3FA4"/>
    <w:rsid w:val="004801C0"/>
    <w:rsid w:val="004A58C9"/>
    <w:rsid w:val="00595B8A"/>
    <w:rsid w:val="00630034"/>
    <w:rsid w:val="00654110"/>
    <w:rsid w:val="006D0FD2"/>
    <w:rsid w:val="0074392A"/>
    <w:rsid w:val="00795EF0"/>
    <w:rsid w:val="007F30B6"/>
    <w:rsid w:val="008533B2"/>
    <w:rsid w:val="00883D0D"/>
    <w:rsid w:val="008B7203"/>
    <w:rsid w:val="008C5F33"/>
    <w:rsid w:val="008E1DEF"/>
    <w:rsid w:val="009169AF"/>
    <w:rsid w:val="00985989"/>
    <w:rsid w:val="00A03069"/>
    <w:rsid w:val="00A70284"/>
    <w:rsid w:val="00AB5207"/>
    <w:rsid w:val="00B1341E"/>
    <w:rsid w:val="00B1428E"/>
    <w:rsid w:val="00B36873"/>
    <w:rsid w:val="00BB0632"/>
    <w:rsid w:val="00BD50C5"/>
    <w:rsid w:val="00C27DB3"/>
    <w:rsid w:val="00D14ADB"/>
    <w:rsid w:val="00D35EF5"/>
    <w:rsid w:val="00D54B8A"/>
    <w:rsid w:val="00DC60BB"/>
    <w:rsid w:val="00E43587"/>
    <w:rsid w:val="00E96699"/>
    <w:rsid w:val="00EA5B1A"/>
    <w:rsid w:val="00EC21F1"/>
    <w:rsid w:val="00EE1CC2"/>
    <w:rsid w:val="00EE704B"/>
    <w:rsid w:val="00F52DC4"/>
    <w:rsid w:val="00F60CBB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0" w:unhideWhenUsed="0"/>
    <w:lsdException w:name="index 2" w:semiHidden="0" w:unhideWhenUsed="0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2F"/>
    <w:rPr>
      <w:rFonts w:ascii="Arial" w:eastAsia="Times New Roman" w:hAnsi="Arial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D4F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D4F2F"/>
    <w:rPr>
      <w:rFonts w:ascii="Tahoma" w:eastAsia="Symbol" w:hAnsi="Tahoma"/>
      <w:sz w:val="16"/>
    </w:rPr>
  </w:style>
  <w:style w:type="character" w:customStyle="1" w:styleId="BalloonTextChar">
    <w:name w:val="Balloon Text Char"/>
    <w:link w:val="BalloonText"/>
    <w:locked/>
    <w:rsid w:val="008D4F2F"/>
    <w:rPr>
      <w:rFonts w:ascii="Tahoma" w:hAnsi="Tahoma" w:cs="Times New Roman"/>
      <w:sz w:val="16"/>
    </w:rPr>
  </w:style>
  <w:style w:type="character" w:styleId="CommentReference">
    <w:name w:val="annotation reference"/>
    <w:rsid w:val="008D4F2F"/>
    <w:rPr>
      <w:rFonts w:ascii="Symbol" w:hAnsi="Symbol" w:cs="Times New Roman"/>
      <w:sz w:val="16"/>
    </w:rPr>
  </w:style>
  <w:style w:type="paragraph" w:styleId="CommentText">
    <w:name w:val="annotation text"/>
    <w:basedOn w:val="Normal"/>
    <w:link w:val="CommentTextChar"/>
    <w:rsid w:val="008D4F2F"/>
    <w:rPr>
      <w:rFonts w:eastAsia="Symbol"/>
      <w:sz w:val="20"/>
    </w:rPr>
  </w:style>
  <w:style w:type="character" w:customStyle="1" w:styleId="CommentTextChar">
    <w:name w:val="Comment Text Char"/>
    <w:link w:val="CommentText"/>
    <w:locked/>
    <w:rsid w:val="008D4F2F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D4F2F"/>
    <w:rPr>
      <w:rFonts w:ascii="Symbol" w:hAnsi="Symbol"/>
      <w:b/>
    </w:rPr>
  </w:style>
  <w:style w:type="character" w:customStyle="1" w:styleId="CommentSubjectChar">
    <w:name w:val="Comment Subject Char"/>
    <w:link w:val="CommentSubject"/>
    <w:locked/>
    <w:rsid w:val="008D4F2F"/>
    <w:rPr>
      <w:rFonts w:ascii="Symbol" w:hAnsi="Symbol" w:cs="Times New Roman"/>
      <w:b/>
    </w:rPr>
  </w:style>
  <w:style w:type="paragraph" w:styleId="NormalWeb">
    <w:name w:val="Normal (Web)"/>
    <w:basedOn w:val="Normal"/>
    <w:uiPriority w:val="99"/>
    <w:rsid w:val="00074716"/>
    <w:pPr>
      <w:spacing w:beforeLines="1" w:afterLines="1"/>
    </w:pPr>
    <w:rPr>
      <w:rFonts w:ascii="Times" w:eastAsia="Symbol" w:hAnsi="Times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795EF0"/>
    <w:pPr>
      <w:widowControl w:val="0"/>
      <w:numPr>
        <w:numId w:val="1"/>
      </w:numPr>
      <w:wordWrap w:val="0"/>
      <w:autoSpaceDE w:val="0"/>
      <w:autoSpaceDN w:val="0"/>
      <w:spacing w:after="120"/>
      <w:contextualSpacing/>
      <w:jc w:val="both"/>
    </w:pPr>
    <w:rPr>
      <w:rFonts w:ascii="Malgun Gothic" w:hAnsi="Malgun Gothic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514</Words>
  <Characters>2932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Convenor's Report</vt:lpstr>
    </vt:vector>
  </TitlesOfParts>
  <Manager/>
  <Company/>
  <LinksUpToDate>false</LinksUpToDate>
  <CharactersWithSpaces>3600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Convenor's Report</dc:title>
  <dc:subject>WG 8 2016 Conveneor's report</dc:subject>
  <dc:creator>Jack Cogman</dc:creator>
  <cp:keywords/>
  <dc:description/>
  <cp:lastModifiedBy>Jack Cogman</cp:lastModifiedBy>
  <cp:revision>6</cp:revision>
  <dcterms:created xsi:type="dcterms:W3CDTF">2019-08-05T19:50:00Z</dcterms:created>
  <dcterms:modified xsi:type="dcterms:W3CDTF">2019-08-09T13:30:00Z</dcterms:modified>
  <cp:category/>
</cp:coreProperties>
</file>